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宋体" w:hAnsi="宋体"/>
          <w:sz w:val="44"/>
          <w:szCs w:val="44"/>
        </w:rPr>
      </w:pPr>
    </w:p>
    <w:p>
      <w:pPr>
        <w:widowControl/>
        <w:spacing w:line="580" w:lineRule="exact"/>
        <w:jc w:val="center"/>
        <w:rPr>
          <w:rFonts w:hint="eastAsia" w:asciiTheme="majorEastAsia" w:hAnsiTheme="majorEastAsia" w:eastAsiaTheme="majorEastAsia"/>
          <w:b/>
          <w:sz w:val="52"/>
          <w:szCs w:val="52"/>
          <w:lang w:eastAsia="zh-CN"/>
        </w:rPr>
      </w:pPr>
      <w:r>
        <w:rPr>
          <w:rFonts w:hint="eastAsia" w:asciiTheme="majorEastAsia" w:hAnsiTheme="majorEastAsia" w:eastAsiaTheme="majorEastAsia"/>
          <w:b/>
          <w:color w:val="auto"/>
          <w:sz w:val="52"/>
          <w:szCs w:val="52"/>
        </w:rPr>
        <w:t>保定市</w:t>
      </w:r>
      <w:r>
        <w:rPr>
          <w:rFonts w:hint="eastAsia" w:asciiTheme="majorEastAsia" w:hAnsiTheme="majorEastAsia" w:eastAsiaTheme="majorEastAsia"/>
          <w:b/>
          <w:color w:val="auto"/>
          <w:sz w:val="52"/>
          <w:szCs w:val="52"/>
          <w:lang w:eastAsia="zh-CN"/>
        </w:rPr>
        <w:t>清苑区人民法院</w:t>
      </w:r>
    </w:p>
    <w:p>
      <w:pPr>
        <w:widowControl/>
        <w:spacing w:line="580" w:lineRule="exact"/>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2019年预算信息公开</w:t>
      </w:r>
    </w:p>
    <w:p>
      <w:pPr>
        <w:spacing w:line="580" w:lineRule="exact"/>
        <w:rPr>
          <w:rFonts w:ascii="仿宋_GB2312" w:eastAsia="仿宋_GB2312"/>
          <w:sz w:val="28"/>
        </w:rPr>
      </w:pPr>
    </w:p>
    <w:p>
      <w:pPr>
        <w:spacing w:line="580" w:lineRule="exact"/>
        <w:ind w:firstLine="720" w:firstLineChars="225"/>
        <w:rPr>
          <w:rFonts w:ascii="仿宋" w:hAnsi="仿宋" w:eastAsia="仿宋"/>
          <w:sz w:val="32"/>
          <w:szCs w:val="32"/>
        </w:rPr>
      </w:pPr>
      <w:r>
        <w:rPr>
          <w:rFonts w:hint="eastAsia" w:ascii="仿宋" w:hAnsi="仿宋" w:eastAsia="仿宋"/>
          <w:sz w:val="32"/>
          <w:szCs w:val="32"/>
        </w:rPr>
        <w:t>按照《预算法》、《地方预决算公开操作规程》等文件规定，现将</w:t>
      </w:r>
      <w:r>
        <w:rPr>
          <w:rFonts w:hint="eastAsia" w:ascii="仿宋" w:hAnsi="仿宋" w:eastAsia="仿宋"/>
          <w:color w:val="auto"/>
          <w:sz w:val="32"/>
          <w:szCs w:val="32"/>
        </w:rPr>
        <w:t>保定市清苑区人民法院</w:t>
      </w:r>
      <w:r>
        <w:rPr>
          <w:rFonts w:hint="eastAsia" w:ascii="仿宋" w:hAnsi="仿宋" w:eastAsia="仿宋"/>
          <w:sz w:val="32"/>
          <w:szCs w:val="32"/>
        </w:rPr>
        <w:t>2019年部门预算公开如下：</w:t>
      </w:r>
    </w:p>
    <w:p>
      <w:pPr>
        <w:spacing w:line="58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第一部分:部门职责及机构设置情况</w:t>
      </w:r>
    </w:p>
    <w:p>
      <w:pPr>
        <w:spacing w:line="580" w:lineRule="exact"/>
        <w:ind w:firstLine="640" w:firstLineChars="200"/>
        <w:jc w:val="center"/>
        <w:rPr>
          <w:rFonts w:hint="eastAsia" w:ascii="黑体" w:hAnsi="黑体" w:eastAsia="黑体"/>
          <w:sz w:val="32"/>
          <w:szCs w:val="32"/>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黑体" w:hAnsi="黑体" w:eastAsia="黑体"/>
          <w:sz w:val="32"/>
          <w:szCs w:val="32"/>
        </w:rPr>
      </w:pPr>
      <w:r>
        <w:rPr>
          <w:rFonts w:hint="eastAsia" w:ascii="黑体" w:hAnsi="黑体" w:eastAsia="黑体"/>
          <w:sz w:val="32"/>
          <w:szCs w:val="32"/>
        </w:rPr>
        <w:t>部门</w:t>
      </w:r>
      <w:r>
        <w:rPr>
          <w:rFonts w:ascii="黑体" w:hAnsi="黑体" w:eastAsia="黑体"/>
          <w:sz w:val="32"/>
          <w:szCs w:val="32"/>
        </w:rPr>
        <w:t>职责：</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根据中共清苑县委办公室《关于印发清苑县人民法院职能配置、内设机构和人员编制规定的通知》（清办字[2002]48号），现将我院部门概况说明如下：</w:t>
      </w:r>
    </w:p>
    <w:p>
      <w:pPr>
        <w:spacing w:line="520" w:lineRule="exact"/>
        <w:ind w:firstLine="640" w:firstLineChars="200"/>
        <w:jc w:val="left"/>
        <w:rPr>
          <w:rFonts w:hint="eastAsia" w:ascii="仿宋" w:hAnsi="仿宋" w:eastAsia="仿宋" w:cs="仿宋_GB2312"/>
          <w:sz w:val="32"/>
          <w:szCs w:val="32"/>
        </w:rPr>
      </w:pP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（一）依法审判法律规定的由本院管辖的刑事、民事、行政等第一审案件。</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（二）依法审判刑事、民事、行政等按照审判监督程序提起的再审案件和二审法院发还重审的案件。</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（三）依法办理发生法律效力的刑事、民事、行政的执行事项；办理法律规定由法院执行的其他法律文书的执行事项。</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（四）依法行使司法决定权</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（五）针对案件审理中发现的问题提出司法建设意见。</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（六）负责审判工作的调查研究，总结审判工作经验，工作中就适用法律、政策问题进行请示，负责全院的司法统计工作。</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（七）对本院的法官和其他工作人员进行思想政治教育，组织专业培训；协助主管部门管理机构编制工作，按照权限管理法官和其他工作人员。</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（八）管理人民法院的有关经费和物资装备</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（九）负责人民法院的司法技术鉴定工作</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（十）在审判工作中，宣传法制，指导民调工作，教育公民忠于社会主义祖国，自觉遵守宪法、法律、和社会公德。</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（十一）承办其他应由基层人民法院负责的工作。</w:t>
      </w:r>
    </w:p>
    <w:p>
      <w:pPr>
        <w:spacing w:line="520" w:lineRule="exact"/>
        <w:ind w:firstLine="640" w:firstLineChars="200"/>
        <w:jc w:val="left"/>
        <w:rPr>
          <w:rFonts w:hint="eastAsia" w:ascii="仿宋" w:hAnsi="仿宋" w:eastAsia="仿宋" w:cs="仿宋_GB2312"/>
          <w:sz w:val="32"/>
          <w:szCs w:val="32"/>
        </w:rPr>
      </w:pPr>
    </w:p>
    <w:p>
      <w:pPr>
        <w:spacing w:line="520" w:lineRule="exact"/>
        <w:ind w:firstLine="640" w:firstLineChars="200"/>
        <w:jc w:val="left"/>
        <w:rPr>
          <w:rFonts w:hint="eastAsia" w:ascii="仿宋" w:hAnsi="仿宋" w:eastAsia="仿宋" w:cs="仿宋_GB2312"/>
          <w:sz w:val="32"/>
          <w:szCs w:val="32"/>
        </w:rPr>
      </w:pPr>
    </w:p>
    <w:p>
      <w:pPr>
        <w:spacing w:line="520" w:lineRule="exact"/>
        <w:ind w:firstLine="640" w:firstLineChars="200"/>
        <w:jc w:val="left"/>
        <w:rPr>
          <w:rFonts w:hint="eastAsia" w:ascii="仿宋" w:hAnsi="仿宋" w:eastAsia="仿宋" w:cs="仿宋_GB2312"/>
          <w:sz w:val="32"/>
          <w:szCs w:val="32"/>
        </w:rPr>
      </w:pPr>
    </w:p>
    <w:p>
      <w:pPr>
        <w:autoSpaceDE w:val="0"/>
        <w:autoSpaceDN w:val="0"/>
        <w:adjustRightInd w:val="0"/>
        <w:spacing w:line="580" w:lineRule="exact"/>
        <w:ind w:firstLine="640" w:firstLineChars="200"/>
        <w:jc w:val="left"/>
        <w:rPr>
          <w:rFonts w:hint="eastAsia" w:ascii="黑体" w:hAnsi="黑体" w:eastAsia="黑体"/>
          <w:sz w:val="32"/>
          <w:szCs w:val="32"/>
        </w:rPr>
      </w:pPr>
      <w:r>
        <w:rPr>
          <w:rFonts w:hint="eastAsia" w:ascii="黑体" w:hAnsi="黑体" w:eastAsia="黑体"/>
          <w:sz w:val="32"/>
          <w:szCs w:val="32"/>
        </w:rPr>
        <w:t>二、机构设置：</w:t>
      </w:r>
    </w:p>
    <w:p>
      <w:pPr>
        <w:autoSpaceDE w:val="0"/>
        <w:autoSpaceDN w:val="0"/>
        <w:adjustRightInd w:val="0"/>
        <w:spacing w:line="580" w:lineRule="exact"/>
        <w:ind w:firstLine="640" w:firstLineChars="200"/>
        <w:jc w:val="left"/>
        <w:rPr>
          <w:rFonts w:hint="eastAsia" w:ascii="黑体" w:hAnsi="黑体" w:eastAsia="黑体"/>
          <w:sz w:val="32"/>
          <w:szCs w:val="32"/>
        </w:rPr>
      </w:pPr>
    </w:p>
    <w:tbl>
      <w:tblPr>
        <w:tblStyle w:val="7"/>
        <w:tblW w:w="10083" w:type="dxa"/>
        <w:jc w:val="center"/>
        <w:tblInd w:w="0" w:type="dxa"/>
        <w:tblLayout w:type="fixed"/>
        <w:tblCellMar>
          <w:top w:w="0" w:type="dxa"/>
          <w:left w:w="108" w:type="dxa"/>
          <w:bottom w:w="0" w:type="dxa"/>
          <w:right w:w="108" w:type="dxa"/>
        </w:tblCellMar>
      </w:tblPr>
      <w:tblGrid>
        <w:gridCol w:w="783"/>
        <w:gridCol w:w="2717"/>
        <w:gridCol w:w="2182"/>
        <w:gridCol w:w="1761"/>
        <w:gridCol w:w="2640"/>
      </w:tblGrid>
      <w:tr>
        <w:tblPrEx>
          <w:tblLayout w:type="fixed"/>
          <w:tblCellMar>
            <w:top w:w="0" w:type="dxa"/>
            <w:left w:w="108" w:type="dxa"/>
            <w:bottom w:w="0" w:type="dxa"/>
            <w:right w:w="108" w:type="dxa"/>
          </w:tblCellMar>
        </w:tblPrEx>
        <w:trPr>
          <w:trHeight w:val="810" w:hRule="atLeast"/>
          <w:jc w:val="center"/>
        </w:trPr>
        <w:tc>
          <w:tcPr>
            <w:tcW w:w="10083" w:type="dxa"/>
            <w:gridSpan w:val="5"/>
            <w:tcBorders>
              <w:top w:val="nil"/>
              <w:left w:val="nil"/>
              <w:bottom w:val="single" w:color="auto" w:sz="4" w:space="0"/>
              <w:right w:val="nil"/>
            </w:tcBorders>
            <w:noWrap w:val="0"/>
            <w:vAlign w:val="center"/>
          </w:tcPr>
          <w:p>
            <w:pPr>
              <w:spacing w:line="52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部门机构设置情况</w:t>
            </w:r>
          </w:p>
        </w:tc>
      </w:tr>
      <w:tr>
        <w:tblPrEx>
          <w:tblLayout w:type="fixed"/>
          <w:tblCellMar>
            <w:top w:w="0" w:type="dxa"/>
            <w:left w:w="108" w:type="dxa"/>
            <w:bottom w:w="0" w:type="dxa"/>
            <w:right w:w="108" w:type="dxa"/>
          </w:tblCellMar>
        </w:tblPrEx>
        <w:trPr>
          <w:trHeight w:val="720" w:hRule="atLeast"/>
          <w:jc w:val="center"/>
        </w:trPr>
        <w:tc>
          <w:tcPr>
            <w:tcW w:w="783" w:type="dxa"/>
            <w:vMerge w:val="restart"/>
            <w:tcBorders>
              <w:top w:val="nil"/>
              <w:left w:val="single" w:color="auto" w:sz="4" w:space="0"/>
              <w:bottom w:val="single" w:color="000000" w:sz="4" w:space="0"/>
              <w:right w:val="single" w:color="auto" w:sz="4" w:space="0"/>
            </w:tcBorders>
            <w:noWrap w:val="0"/>
            <w:vAlign w:val="center"/>
          </w:tcPr>
          <w:p>
            <w:pPr>
              <w:spacing w:line="520" w:lineRule="exact"/>
              <w:jc w:val="left"/>
              <w:rPr>
                <w:rFonts w:hint="eastAsia" w:ascii="仿宋" w:hAnsi="仿宋" w:eastAsia="仿宋" w:cs="仿宋_GB2312"/>
                <w:sz w:val="28"/>
                <w:szCs w:val="28"/>
              </w:rPr>
            </w:pPr>
            <w:r>
              <w:rPr>
                <w:rFonts w:hint="eastAsia" w:ascii="仿宋" w:hAnsi="仿宋" w:eastAsia="仿宋" w:cs="仿宋_GB2312"/>
                <w:sz w:val="28"/>
                <w:szCs w:val="28"/>
              </w:rPr>
              <w:t>序号</w:t>
            </w:r>
          </w:p>
        </w:tc>
        <w:tc>
          <w:tcPr>
            <w:tcW w:w="2717" w:type="dxa"/>
            <w:vMerge w:val="restart"/>
            <w:tcBorders>
              <w:top w:val="nil"/>
              <w:left w:val="single" w:color="auto" w:sz="4" w:space="0"/>
              <w:bottom w:val="single" w:color="000000" w:sz="4" w:space="0"/>
              <w:right w:val="single" w:color="auto" w:sz="4" w:space="0"/>
            </w:tcBorders>
            <w:noWrap w:val="0"/>
            <w:vAlign w:val="center"/>
          </w:tcPr>
          <w:p>
            <w:pPr>
              <w:spacing w:line="520" w:lineRule="exact"/>
              <w:ind w:firstLine="560" w:firstLineChars="200"/>
              <w:jc w:val="center"/>
              <w:rPr>
                <w:rFonts w:hint="eastAsia" w:ascii="仿宋" w:hAnsi="仿宋" w:eastAsia="仿宋" w:cs="仿宋_GB2312"/>
                <w:sz w:val="28"/>
                <w:szCs w:val="28"/>
              </w:rPr>
            </w:pPr>
            <w:r>
              <w:rPr>
                <w:rFonts w:hint="eastAsia" w:ascii="仿宋" w:hAnsi="仿宋" w:eastAsia="仿宋" w:cs="仿宋_GB2312"/>
                <w:sz w:val="28"/>
                <w:szCs w:val="28"/>
              </w:rPr>
              <w:t>单位名称</w:t>
            </w:r>
          </w:p>
        </w:tc>
        <w:tc>
          <w:tcPr>
            <w:tcW w:w="2182" w:type="dxa"/>
            <w:vMerge w:val="restart"/>
            <w:tcBorders>
              <w:top w:val="nil"/>
              <w:left w:val="single" w:color="auto" w:sz="4" w:space="0"/>
              <w:bottom w:val="single" w:color="000000" w:sz="4" w:space="0"/>
              <w:right w:val="single" w:color="auto" w:sz="4" w:space="0"/>
            </w:tcBorders>
            <w:noWrap w:val="0"/>
            <w:vAlign w:val="center"/>
          </w:tcPr>
          <w:p>
            <w:pPr>
              <w:spacing w:line="520" w:lineRule="exact"/>
              <w:jc w:val="center"/>
              <w:rPr>
                <w:rFonts w:hint="eastAsia" w:ascii="仿宋" w:hAnsi="仿宋" w:eastAsia="仿宋" w:cs="仿宋_GB2312"/>
                <w:sz w:val="28"/>
                <w:szCs w:val="28"/>
              </w:rPr>
            </w:pPr>
            <w:r>
              <w:rPr>
                <w:rFonts w:hint="eastAsia" w:ascii="仿宋" w:hAnsi="仿宋" w:eastAsia="仿宋" w:cs="仿宋_GB2312"/>
                <w:sz w:val="28"/>
                <w:szCs w:val="28"/>
              </w:rPr>
              <w:t>单位性质</w:t>
            </w:r>
          </w:p>
        </w:tc>
        <w:tc>
          <w:tcPr>
            <w:tcW w:w="1761" w:type="dxa"/>
            <w:vMerge w:val="restart"/>
            <w:tcBorders>
              <w:top w:val="nil"/>
              <w:left w:val="single" w:color="auto" w:sz="4" w:space="0"/>
              <w:bottom w:val="single" w:color="000000" w:sz="4" w:space="0"/>
              <w:right w:val="single" w:color="auto" w:sz="4" w:space="0"/>
            </w:tcBorders>
            <w:noWrap w:val="0"/>
            <w:vAlign w:val="center"/>
          </w:tcPr>
          <w:p>
            <w:pPr>
              <w:spacing w:line="520" w:lineRule="exact"/>
              <w:jc w:val="center"/>
              <w:rPr>
                <w:rFonts w:hint="eastAsia" w:ascii="仿宋" w:hAnsi="仿宋" w:eastAsia="仿宋" w:cs="仿宋_GB2312"/>
                <w:sz w:val="28"/>
                <w:szCs w:val="28"/>
              </w:rPr>
            </w:pPr>
            <w:r>
              <w:rPr>
                <w:rFonts w:hint="eastAsia" w:ascii="仿宋" w:hAnsi="仿宋" w:eastAsia="仿宋" w:cs="仿宋_GB2312"/>
                <w:sz w:val="28"/>
                <w:szCs w:val="28"/>
              </w:rPr>
              <w:t>单位规格</w:t>
            </w:r>
          </w:p>
        </w:tc>
        <w:tc>
          <w:tcPr>
            <w:tcW w:w="2640" w:type="dxa"/>
            <w:vMerge w:val="restart"/>
            <w:tcBorders>
              <w:top w:val="nil"/>
              <w:left w:val="single" w:color="auto" w:sz="4" w:space="0"/>
              <w:bottom w:val="single" w:color="000000" w:sz="4" w:space="0"/>
              <w:right w:val="single" w:color="auto" w:sz="4" w:space="0"/>
            </w:tcBorders>
            <w:noWrap w:val="0"/>
            <w:vAlign w:val="center"/>
          </w:tcPr>
          <w:p>
            <w:pPr>
              <w:spacing w:line="520" w:lineRule="exact"/>
              <w:jc w:val="center"/>
              <w:rPr>
                <w:rFonts w:hint="eastAsia" w:ascii="仿宋" w:hAnsi="仿宋" w:eastAsia="仿宋" w:cs="仿宋_GB2312"/>
                <w:sz w:val="28"/>
                <w:szCs w:val="28"/>
              </w:rPr>
            </w:pPr>
            <w:r>
              <w:rPr>
                <w:rFonts w:hint="eastAsia" w:ascii="仿宋" w:hAnsi="仿宋" w:eastAsia="仿宋" w:cs="仿宋_GB2312"/>
                <w:sz w:val="28"/>
                <w:szCs w:val="28"/>
              </w:rPr>
              <w:t>经费保障形式</w:t>
            </w:r>
          </w:p>
        </w:tc>
      </w:tr>
      <w:tr>
        <w:tblPrEx>
          <w:tblLayout w:type="fixed"/>
          <w:tblCellMar>
            <w:top w:w="0" w:type="dxa"/>
            <w:left w:w="108" w:type="dxa"/>
            <w:bottom w:w="0" w:type="dxa"/>
            <w:right w:w="108" w:type="dxa"/>
          </w:tblCellMar>
        </w:tblPrEx>
        <w:trPr>
          <w:trHeight w:val="520" w:hRule="atLeast"/>
          <w:jc w:val="center"/>
        </w:trPr>
        <w:tc>
          <w:tcPr>
            <w:tcW w:w="783" w:type="dxa"/>
            <w:vMerge w:val="continue"/>
            <w:tcBorders>
              <w:top w:val="nil"/>
              <w:left w:val="single" w:color="auto" w:sz="4" w:space="0"/>
              <w:bottom w:val="single" w:color="000000" w:sz="4" w:space="0"/>
              <w:right w:val="single" w:color="auto" w:sz="4" w:space="0"/>
            </w:tcBorders>
            <w:noWrap w:val="0"/>
            <w:vAlign w:val="center"/>
          </w:tcPr>
          <w:p>
            <w:pPr>
              <w:spacing w:line="520" w:lineRule="exact"/>
              <w:ind w:firstLine="560" w:firstLineChars="200"/>
              <w:jc w:val="left"/>
              <w:rPr>
                <w:rFonts w:hint="eastAsia" w:ascii="仿宋" w:hAnsi="仿宋" w:eastAsia="仿宋" w:cs="仿宋_GB2312"/>
                <w:sz w:val="28"/>
                <w:szCs w:val="28"/>
              </w:rPr>
            </w:pPr>
          </w:p>
        </w:tc>
        <w:tc>
          <w:tcPr>
            <w:tcW w:w="2717" w:type="dxa"/>
            <w:vMerge w:val="continue"/>
            <w:tcBorders>
              <w:top w:val="nil"/>
              <w:left w:val="single" w:color="auto" w:sz="4" w:space="0"/>
              <w:bottom w:val="single" w:color="000000" w:sz="4" w:space="0"/>
              <w:right w:val="single" w:color="auto" w:sz="4" w:space="0"/>
            </w:tcBorders>
            <w:noWrap w:val="0"/>
            <w:vAlign w:val="center"/>
          </w:tcPr>
          <w:p>
            <w:pPr>
              <w:spacing w:line="520" w:lineRule="exact"/>
              <w:ind w:firstLine="560" w:firstLineChars="200"/>
              <w:jc w:val="center"/>
              <w:rPr>
                <w:rFonts w:hint="eastAsia" w:ascii="仿宋" w:hAnsi="仿宋" w:eastAsia="仿宋" w:cs="仿宋_GB2312"/>
                <w:sz w:val="28"/>
                <w:szCs w:val="28"/>
              </w:rPr>
            </w:pPr>
          </w:p>
        </w:tc>
        <w:tc>
          <w:tcPr>
            <w:tcW w:w="2182" w:type="dxa"/>
            <w:vMerge w:val="continue"/>
            <w:tcBorders>
              <w:top w:val="nil"/>
              <w:left w:val="single" w:color="auto" w:sz="4" w:space="0"/>
              <w:bottom w:val="single" w:color="000000" w:sz="4" w:space="0"/>
              <w:right w:val="single" w:color="auto" w:sz="4" w:space="0"/>
            </w:tcBorders>
            <w:noWrap w:val="0"/>
            <w:vAlign w:val="center"/>
          </w:tcPr>
          <w:p>
            <w:pPr>
              <w:spacing w:line="520" w:lineRule="exact"/>
              <w:ind w:firstLine="560" w:firstLineChars="200"/>
              <w:jc w:val="center"/>
              <w:rPr>
                <w:rFonts w:hint="eastAsia" w:ascii="仿宋" w:hAnsi="仿宋" w:eastAsia="仿宋" w:cs="仿宋_GB2312"/>
                <w:sz w:val="28"/>
                <w:szCs w:val="28"/>
              </w:rPr>
            </w:pPr>
          </w:p>
        </w:tc>
        <w:tc>
          <w:tcPr>
            <w:tcW w:w="1761" w:type="dxa"/>
            <w:vMerge w:val="continue"/>
            <w:tcBorders>
              <w:top w:val="nil"/>
              <w:left w:val="single" w:color="auto" w:sz="4" w:space="0"/>
              <w:bottom w:val="single" w:color="000000" w:sz="4" w:space="0"/>
              <w:right w:val="single" w:color="auto" w:sz="4" w:space="0"/>
            </w:tcBorders>
            <w:noWrap w:val="0"/>
            <w:vAlign w:val="center"/>
          </w:tcPr>
          <w:p>
            <w:pPr>
              <w:spacing w:line="520" w:lineRule="exact"/>
              <w:ind w:firstLine="560" w:firstLineChars="200"/>
              <w:jc w:val="center"/>
              <w:rPr>
                <w:rFonts w:hint="eastAsia" w:ascii="仿宋" w:hAnsi="仿宋" w:eastAsia="仿宋" w:cs="仿宋_GB2312"/>
                <w:sz w:val="28"/>
                <w:szCs w:val="28"/>
              </w:rPr>
            </w:pPr>
          </w:p>
        </w:tc>
        <w:tc>
          <w:tcPr>
            <w:tcW w:w="2640" w:type="dxa"/>
            <w:vMerge w:val="continue"/>
            <w:tcBorders>
              <w:top w:val="nil"/>
              <w:left w:val="single" w:color="auto" w:sz="4" w:space="0"/>
              <w:bottom w:val="single" w:color="000000" w:sz="4" w:space="0"/>
              <w:right w:val="single" w:color="auto" w:sz="4" w:space="0"/>
            </w:tcBorders>
            <w:noWrap w:val="0"/>
            <w:vAlign w:val="center"/>
          </w:tcPr>
          <w:p>
            <w:pPr>
              <w:spacing w:line="520" w:lineRule="exact"/>
              <w:ind w:firstLine="560" w:firstLineChars="200"/>
              <w:jc w:val="center"/>
              <w:rPr>
                <w:rFonts w:hint="eastAsia" w:ascii="仿宋" w:hAnsi="仿宋" w:eastAsia="仿宋" w:cs="仿宋_GB2312"/>
                <w:sz w:val="28"/>
                <w:szCs w:val="28"/>
              </w:rPr>
            </w:pPr>
          </w:p>
        </w:tc>
      </w:tr>
      <w:tr>
        <w:tblPrEx>
          <w:tblLayout w:type="fixed"/>
          <w:tblCellMar>
            <w:top w:w="0" w:type="dxa"/>
            <w:left w:w="108" w:type="dxa"/>
            <w:bottom w:w="0" w:type="dxa"/>
            <w:right w:w="108" w:type="dxa"/>
          </w:tblCellMar>
        </w:tblPrEx>
        <w:trPr>
          <w:trHeight w:val="720" w:hRule="atLeast"/>
          <w:jc w:val="center"/>
        </w:trPr>
        <w:tc>
          <w:tcPr>
            <w:tcW w:w="783" w:type="dxa"/>
            <w:tcBorders>
              <w:top w:val="nil"/>
              <w:left w:val="single" w:color="auto" w:sz="4" w:space="0"/>
              <w:bottom w:val="single" w:color="auto" w:sz="4" w:space="0"/>
              <w:right w:val="single" w:color="auto" w:sz="4" w:space="0"/>
            </w:tcBorders>
            <w:noWrap w:val="0"/>
            <w:vAlign w:val="center"/>
          </w:tcPr>
          <w:p>
            <w:pPr>
              <w:spacing w:line="520" w:lineRule="exact"/>
              <w:ind w:firstLine="280" w:firstLineChars="100"/>
              <w:rPr>
                <w:rFonts w:hint="eastAsia" w:ascii="仿宋" w:hAnsi="仿宋" w:eastAsia="仿宋" w:cs="仿宋_GB2312"/>
                <w:sz w:val="28"/>
                <w:szCs w:val="28"/>
              </w:rPr>
            </w:pPr>
            <w:r>
              <w:rPr>
                <w:rFonts w:hint="eastAsia" w:ascii="仿宋" w:hAnsi="仿宋" w:eastAsia="仿宋" w:cs="仿宋_GB2312"/>
                <w:sz w:val="28"/>
                <w:szCs w:val="28"/>
              </w:rPr>
              <w:t>1</w:t>
            </w:r>
          </w:p>
        </w:tc>
        <w:tc>
          <w:tcPr>
            <w:tcW w:w="2717" w:type="dxa"/>
            <w:tcBorders>
              <w:top w:val="nil"/>
              <w:left w:val="nil"/>
              <w:bottom w:val="single" w:color="auto" w:sz="4" w:space="0"/>
              <w:right w:val="single" w:color="auto" w:sz="4" w:space="0"/>
            </w:tcBorders>
            <w:noWrap w:val="0"/>
            <w:vAlign w:val="center"/>
          </w:tcPr>
          <w:p>
            <w:pPr>
              <w:spacing w:line="520" w:lineRule="exact"/>
              <w:ind w:firstLine="560" w:firstLineChars="200"/>
              <w:jc w:val="center"/>
              <w:rPr>
                <w:rFonts w:hint="eastAsia" w:ascii="仿宋" w:hAnsi="仿宋" w:eastAsia="仿宋" w:cs="仿宋_GB2312"/>
                <w:sz w:val="28"/>
                <w:szCs w:val="28"/>
              </w:rPr>
            </w:pPr>
            <w:r>
              <w:rPr>
                <w:rFonts w:hint="eastAsia" w:ascii="仿宋" w:hAnsi="仿宋" w:eastAsia="仿宋" w:cs="仿宋_GB2312"/>
                <w:sz w:val="28"/>
                <w:szCs w:val="28"/>
              </w:rPr>
              <w:t>保定市清苑区人民法院</w:t>
            </w:r>
          </w:p>
        </w:tc>
        <w:tc>
          <w:tcPr>
            <w:tcW w:w="2182" w:type="dxa"/>
            <w:tcBorders>
              <w:top w:val="nil"/>
              <w:left w:val="nil"/>
              <w:bottom w:val="single" w:color="auto" w:sz="4" w:space="0"/>
              <w:right w:val="single" w:color="auto" w:sz="4" w:space="0"/>
            </w:tcBorders>
            <w:noWrap w:val="0"/>
            <w:vAlign w:val="center"/>
          </w:tcPr>
          <w:p>
            <w:pPr>
              <w:spacing w:line="520" w:lineRule="exact"/>
              <w:jc w:val="center"/>
              <w:rPr>
                <w:rFonts w:hint="eastAsia" w:ascii="仿宋" w:hAnsi="仿宋" w:eastAsia="仿宋" w:cs="仿宋_GB2312"/>
                <w:sz w:val="28"/>
                <w:szCs w:val="28"/>
              </w:rPr>
            </w:pPr>
            <w:r>
              <w:rPr>
                <w:rFonts w:hint="eastAsia" w:ascii="仿宋" w:hAnsi="仿宋" w:eastAsia="仿宋" w:cs="仿宋_GB2312"/>
                <w:sz w:val="28"/>
                <w:szCs w:val="28"/>
              </w:rPr>
              <w:t>行政</w:t>
            </w:r>
          </w:p>
        </w:tc>
        <w:tc>
          <w:tcPr>
            <w:tcW w:w="1761" w:type="dxa"/>
            <w:tcBorders>
              <w:top w:val="nil"/>
              <w:left w:val="nil"/>
              <w:bottom w:val="single" w:color="auto" w:sz="4" w:space="0"/>
              <w:right w:val="single" w:color="auto" w:sz="4" w:space="0"/>
            </w:tcBorders>
            <w:noWrap w:val="0"/>
            <w:vAlign w:val="center"/>
          </w:tcPr>
          <w:p>
            <w:pPr>
              <w:spacing w:line="520" w:lineRule="exact"/>
              <w:jc w:val="center"/>
              <w:rPr>
                <w:rFonts w:hint="eastAsia" w:ascii="仿宋" w:hAnsi="仿宋" w:eastAsia="仿宋" w:cs="仿宋_GB2312"/>
                <w:sz w:val="28"/>
                <w:szCs w:val="28"/>
              </w:rPr>
            </w:pPr>
            <w:r>
              <w:rPr>
                <w:rFonts w:hint="eastAsia" w:ascii="仿宋" w:hAnsi="仿宋" w:eastAsia="仿宋" w:cs="仿宋_GB2312"/>
                <w:sz w:val="28"/>
                <w:szCs w:val="28"/>
              </w:rPr>
              <w:t>副处级</w:t>
            </w:r>
          </w:p>
        </w:tc>
        <w:tc>
          <w:tcPr>
            <w:tcW w:w="2640" w:type="dxa"/>
            <w:tcBorders>
              <w:top w:val="nil"/>
              <w:left w:val="nil"/>
              <w:bottom w:val="single" w:color="auto" w:sz="4" w:space="0"/>
              <w:right w:val="single" w:color="auto" w:sz="4" w:space="0"/>
            </w:tcBorders>
            <w:noWrap w:val="0"/>
            <w:vAlign w:val="center"/>
          </w:tcPr>
          <w:p>
            <w:pPr>
              <w:spacing w:line="520" w:lineRule="exact"/>
              <w:ind w:firstLine="560" w:firstLineChars="200"/>
              <w:jc w:val="center"/>
              <w:rPr>
                <w:rFonts w:hint="eastAsia" w:ascii="仿宋" w:hAnsi="仿宋" w:eastAsia="仿宋" w:cs="仿宋_GB2312"/>
                <w:sz w:val="28"/>
                <w:szCs w:val="28"/>
              </w:rPr>
            </w:pPr>
            <w:r>
              <w:rPr>
                <w:rFonts w:hint="eastAsia" w:ascii="仿宋" w:hAnsi="仿宋" w:eastAsia="仿宋" w:cs="仿宋_GB2312"/>
                <w:sz w:val="28"/>
                <w:szCs w:val="28"/>
              </w:rPr>
              <w:t>财政拨款</w:t>
            </w:r>
          </w:p>
        </w:tc>
      </w:tr>
    </w:tbl>
    <w:p>
      <w:pPr>
        <w:autoSpaceDE w:val="0"/>
        <w:autoSpaceDN w:val="0"/>
        <w:adjustRightInd w:val="0"/>
        <w:spacing w:line="580" w:lineRule="exact"/>
        <w:ind w:firstLine="640" w:firstLineChars="200"/>
        <w:jc w:val="left"/>
        <w:rPr>
          <w:rFonts w:hint="eastAsia" w:ascii="黑体" w:hAnsi="黑体" w:eastAsia="黑体"/>
          <w:sz w:val="32"/>
          <w:szCs w:val="32"/>
        </w:rPr>
      </w:pPr>
    </w:p>
    <w:p>
      <w:pPr>
        <w:spacing w:line="580" w:lineRule="exact"/>
        <w:ind w:left="1713" w:firstLine="320" w:firstLineChars="100"/>
        <w:rPr>
          <w:rFonts w:ascii="黑体" w:hAnsi="黑体" w:eastAsia="黑体"/>
          <w:sz w:val="32"/>
          <w:szCs w:val="32"/>
        </w:rPr>
      </w:pPr>
      <w:r>
        <w:rPr>
          <w:rFonts w:hint="eastAsia" w:ascii="黑体" w:hAnsi="黑体" w:eastAsia="黑体"/>
          <w:sz w:val="32"/>
          <w:szCs w:val="32"/>
        </w:rPr>
        <w:t>第二部分：部门预算安排的总体情况</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按照预算管理有关规定，目前</w:t>
      </w:r>
      <w:r>
        <w:rPr>
          <w:rFonts w:hint="eastAsia" w:ascii="仿宋" w:hAnsi="仿宋" w:eastAsia="仿宋"/>
          <w:sz w:val="32"/>
          <w:szCs w:val="32"/>
          <w:lang w:eastAsia="zh-CN"/>
        </w:rPr>
        <w:t>我区部门</w:t>
      </w:r>
      <w:r>
        <w:rPr>
          <w:rFonts w:hint="eastAsia" w:ascii="仿宋" w:hAnsi="仿宋" w:eastAsia="仿宋"/>
          <w:sz w:val="32"/>
          <w:szCs w:val="32"/>
        </w:rPr>
        <w:t>预算的编制实行综合预算制度，即全部收入和支出都反映在预算中。</w:t>
      </w:r>
      <w:r>
        <w:rPr>
          <w:rFonts w:hint="eastAsia" w:ascii="仿宋" w:hAnsi="仿宋" w:eastAsia="仿宋"/>
          <w:color w:val="auto"/>
          <w:sz w:val="32"/>
          <w:szCs w:val="32"/>
        </w:rPr>
        <w:t>保定市</w:t>
      </w:r>
      <w:r>
        <w:rPr>
          <w:rFonts w:hint="eastAsia" w:ascii="仿宋" w:hAnsi="仿宋" w:eastAsia="仿宋"/>
          <w:color w:val="auto"/>
          <w:sz w:val="32"/>
          <w:szCs w:val="32"/>
          <w:lang w:eastAsia="zh-CN"/>
        </w:rPr>
        <w:t>清苑人民法院</w:t>
      </w:r>
      <w:r>
        <w:rPr>
          <w:rFonts w:hint="eastAsia" w:ascii="仿宋" w:hAnsi="仿宋" w:eastAsia="仿宋"/>
          <w:color w:val="auto"/>
          <w:sz w:val="32"/>
          <w:szCs w:val="32"/>
          <w:lang w:val="en-US" w:eastAsia="zh-CN"/>
        </w:rPr>
        <w:t>及下属法庭</w:t>
      </w:r>
      <w:r>
        <w:rPr>
          <w:rFonts w:hint="eastAsia" w:ascii="仿宋" w:hAnsi="仿宋" w:eastAsia="仿宋"/>
          <w:sz w:val="32"/>
          <w:szCs w:val="32"/>
        </w:rPr>
        <w:t>的收支</w:t>
      </w:r>
      <w:r>
        <w:rPr>
          <w:rFonts w:hint="eastAsia" w:ascii="仿宋" w:hAnsi="仿宋" w:eastAsia="仿宋"/>
          <w:sz w:val="32"/>
          <w:szCs w:val="32"/>
          <w:lang w:val="en-US" w:eastAsia="zh-CN"/>
        </w:rPr>
        <w:t>均</w:t>
      </w:r>
      <w:r>
        <w:rPr>
          <w:rFonts w:hint="eastAsia" w:ascii="仿宋" w:hAnsi="仿宋" w:eastAsia="仿宋"/>
          <w:sz w:val="32"/>
          <w:szCs w:val="32"/>
        </w:rPr>
        <w:t>包含在部门预算中。</w:t>
      </w:r>
    </w:p>
    <w:p>
      <w:pPr>
        <w:spacing w:line="580" w:lineRule="exact"/>
        <w:ind w:firstLine="560"/>
        <w:rPr>
          <w:rFonts w:ascii="华文楷体" w:hAnsi="华文楷体" w:eastAsia="华文楷体"/>
          <w:sz w:val="32"/>
          <w:szCs w:val="32"/>
        </w:rPr>
      </w:pPr>
      <w:r>
        <w:rPr>
          <w:rFonts w:hint="eastAsia" w:ascii="华文楷体" w:hAnsi="华文楷体" w:eastAsia="华文楷体"/>
          <w:sz w:val="32"/>
          <w:szCs w:val="32"/>
        </w:rPr>
        <w:t>一、收入说明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2019年预算收入为1477.37万元，其中：一般公共预算收入1477.37万元，基金预算收入0万元，国有资本经营预算收入0万元，财政专户收入0万元，其他来源收入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560"/>
        <w:rPr>
          <w:rFonts w:ascii="华文楷体" w:hAnsi="华文楷体" w:eastAsia="华文楷体"/>
          <w:sz w:val="32"/>
          <w:szCs w:val="32"/>
        </w:rPr>
      </w:pPr>
      <w:r>
        <w:rPr>
          <w:rFonts w:hint="eastAsia" w:ascii="华文楷体" w:hAnsi="华文楷体" w:eastAsia="华文楷体"/>
          <w:sz w:val="32"/>
          <w:szCs w:val="32"/>
        </w:rPr>
        <w:t>二、支出说明</w:t>
      </w:r>
    </w:p>
    <w:p>
      <w:pPr>
        <w:spacing w:line="580" w:lineRule="exact"/>
        <w:ind w:firstLine="720" w:firstLineChars="225"/>
        <w:rPr>
          <w:rFonts w:hint="eastAsia" w:ascii="仿宋" w:hAnsi="仿宋" w:eastAsia="仿宋"/>
          <w:sz w:val="32"/>
          <w:szCs w:val="32"/>
        </w:rPr>
      </w:pPr>
      <w:r>
        <w:rPr>
          <w:rFonts w:hint="eastAsia" w:ascii="仿宋" w:hAnsi="仿宋" w:eastAsia="仿宋"/>
          <w:sz w:val="32"/>
          <w:szCs w:val="32"/>
        </w:rPr>
        <w:t>2019年部门支出预算：1477.37万元</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基本支出1477.37万元</w:t>
      </w:r>
    </w:p>
    <w:p>
      <w:pPr>
        <w:spacing w:line="580" w:lineRule="exact"/>
        <w:ind w:firstLine="1360" w:firstLineChars="425"/>
        <w:rPr>
          <w:rFonts w:ascii="仿宋" w:hAnsi="仿宋" w:eastAsia="仿宋"/>
          <w:sz w:val="32"/>
          <w:szCs w:val="32"/>
        </w:rPr>
      </w:pPr>
      <w:r>
        <w:rPr>
          <w:rFonts w:hint="eastAsia" w:ascii="仿宋" w:hAnsi="仿宋" w:eastAsia="仿宋"/>
          <w:sz w:val="32"/>
          <w:szCs w:val="32"/>
        </w:rPr>
        <w:t>其中：人员经费1215.06万元</w:t>
      </w:r>
    </w:p>
    <w:p>
      <w:pPr>
        <w:spacing w:line="580" w:lineRule="exact"/>
        <w:ind w:firstLine="2320" w:firstLineChars="725"/>
        <w:rPr>
          <w:rFonts w:hint="eastAsia" w:ascii="仿宋" w:hAnsi="仿宋" w:eastAsia="仿宋"/>
          <w:sz w:val="32"/>
          <w:szCs w:val="32"/>
        </w:rPr>
      </w:pPr>
      <w:r>
        <w:rPr>
          <w:rFonts w:hint="eastAsia" w:ascii="仿宋" w:hAnsi="仿宋" w:eastAsia="仿宋"/>
          <w:sz w:val="32"/>
          <w:szCs w:val="32"/>
        </w:rPr>
        <w:t>日常公用经费</w:t>
      </w:r>
      <w:r>
        <w:rPr>
          <w:rFonts w:hint="eastAsia" w:ascii="仿宋" w:hAnsi="仿宋" w:eastAsia="仿宋"/>
          <w:sz w:val="32"/>
          <w:szCs w:val="32"/>
          <w:lang w:val="en-US" w:eastAsia="zh-CN"/>
        </w:rPr>
        <w:t>262.31</w:t>
      </w:r>
      <w:r>
        <w:rPr>
          <w:rFonts w:hint="eastAsia" w:ascii="仿宋" w:hAnsi="仿宋" w:eastAsia="仿宋"/>
          <w:sz w:val="32"/>
          <w:szCs w:val="32"/>
        </w:rPr>
        <w:t>万元</w:t>
      </w:r>
    </w:p>
    <w:p>
      <w:pPr>
        <w:spacing w:line="58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其中：项目支出0万元</w:t>
      </w:r>
    </w:p>
    <w:p>
      <w:pPr>
        <w:spacing w:line="580" w:lineRule="exact"/>
        <w:ind w:firstLine="560"/>
        <w:rPr>
          <w:rFonts w:ascii="华文楷体" w:hAnsi="华文楷体" w:eastAsia="华文楷体"/>
          <w:sz w:val="32"/>
          <w:szCs w:val="32"/>
        </w:rPr>
      </w:pPr>
      <w:r>
        <w:rPr>
          <w:rFonts w:hint="eastAsia" w:ascii="华文楷体" w:hAnsi="华文楷体" w:eastAsia="华文楷体"/>
          <w:sz w:val="32"/>
          <w:szCs w:val="32"/>
        </w:rPr>
        <w:t>三、</w:t>
      </w:r>
      <w:r>
        <w:rPr>
          <w:rFonts w:ascii="华文楷体" w:hAnsi="华文楷体" w:eastAsia="华文楷体"/>
          <w:sz w:val="32"/>
          <w:szCs w:val="32"/>
        </w:rPr>
        <w:t>比上年增减情况</w:t>
      </w:r>
    </w:p>
    <w:p>
      <w:pPr>
        <w:spacing w:line="580" w:lineRule="exact"/>
        <w:ind w:firstLine="720" w:firstLineChars="225"/>
        <w:rPr>
          <w:rFonts w:hint="eastAsia" w:ascii="仿宋" w:hAnsi="仿宋" w:eastAsia="仿宋"/>
          <w:color w:val="auto"/>
          <w:sz w:val="32"/>
          <w:szCs w:val="32"/>
          <w:lang w:eastAsia="zh-CN"/>
        </w:rPr>
      </w:pPr>
      <w:r>
        <w:rPr>
          <w:rFonts w:hint="eastAsia" w:ascii="仿宋" w:hAnsi="仿宋" w:eastAsia="仿宋"/>
          <w:color w:val="auto"/>
          <w:sz w:val="32"/>
          <w:szCs w:val="32"/>
        </w:rPr>
        <w:t>本年度预算收支安排1477.37万元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较上年减少</w:t>
      </w:r>
      <w:r>
        <w:rPr>
          <w:rFonts w:hint="eastAsia" w:ascii="仿宋" w:hAnsi="仿宋" w:eastAsia="仿宋" w:cs="仿宋_GB2312"/>
          <w:sz w:val="28"/>
          <w:szCs w:val="28"/>
          <w:lang w:val="en-US" w:eastAsia="zh-CN"/>
        </w:rPr>
        <w:t>510,57</w:t>
      </w:r>
      <w:r>
        <w:rPr>
          <w:rFonts w:hint="eastAsia" w:ascii="仿宋" w:hAnsi="仿宋" w:eastAsia="仿宋" w:cs="仿宋_GB2312"/>
          <w:sz w:val="28"/>
          <w:szCs w:val="28"/>
        </w:rPr>
        <w:t>万元</w:t>
      </w:r>
      <w:r>
        <w:rPr>
          <w:rFonts w:hint="eastAsia" w:ascii="仿宋" w:hAnsi="仿宋" w:eastAsia="仿宋" w:cs="仿宋_GB2312"/>
          <w:sz w:val="28"/>
          <w:szCs w:val="28"/>
          <w:lang w:eastAsia="zh-CN"/>
        </w:rPr>
        <w:t>，</w:t>
      </w:r>
      <w:r>
        <w:rPr>
          <w:rFonts w:hint="eastAsia" w:ascii="仿宋" w:hAnsi="仿宋" w:eastAsia="仿宋"/>
          <w:color w:val="auto"/>
          <w:sz w:val="32"/>
          <w:szCs w:val="32"/>
        </w:rPr>
        <w:t>其中：基本支出</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67.22</w:t>
      </w:r>
      <w:r>
        <w:rPr>
          <w:rFonts w:hint="eastAsia" w:ascii="仿宋" w:hAnsi="仿宋" w:eastAsia="仿宋"/>
          <w:color w:val="auto"/>
          <w:sz w:val="32"/>
          <w:szCs w:val="32"/>
        </w:rPr>
        <w:t>万元，主要是</w:t>
      </w:r>
      <w:r>
        <w:rPr>
          <w:rFonts w:hint="eastAsia" w:ascii="仿宋" w:hAnsi="仿宋" w:eastAsia="仿宋"/>
          <w:color w:val="auto"/>
          <w:sz w:val="32"/>
          <w:szCs w:val="32"/>
          <w:lang w:eastAsia="zh-CN"/>
        </w:rPr>
        <w:t>增加人员经费；</w:t>
      </w:r>
      <w:r>
        <w:rPr>
          <w:rFonts w:hint="eastAsia" w:ascii="仿宋" w:hAnsi="仿宋" w:eastAsia="仿宋"/>
          <w:color w:val="auto"/>
          <w:sz w:val="32"/>
          <w:szCs w:val="32"/>
          <w:lang w:val="en-US" w:eastAsia="zh-CN"/>
        </w:rPr>
        <w:t>项目支出减少577.79万元，原因</w:t>
      </w:r>
      <w:bookmarkStart w:id="1" w:name="_GoBack"/>
      <w:bookmarkEnd w:id="1"/>
      <w:r>
        <w:rPr>
          <w:rFonts w:hint="eastAsia" w:ascii="仿宋" w:hAnsi="仿宋" w:eastAsia="仿宋"/>
          <w:color w:val="auto"/>
          <w:sz w:val="32"/>
          <w:szCs w:val="32"/>
          <w:lang w:val="en-US" w:eastAsia="zh-CN"/>
        </w:rPr>
        <w:t>为上级专款项目资金尚未下达</w:t>
      </w:r>
      <w:r>
        <w:rPr>
          <w:rFonts w:hint="eastAsia" w:ascii="仿宋" w:hAnsi="仿宋" w:eastAsia="仿宋"/>
          <w:color w:val="auto"/>
          <w:sz w:val="32"/>
          <w:szCs w:val="32"/>
          <w:lang w:eastAsia="zh-CN"/>
        </w:rPr>
        <w:t>。</w:t>
      </w:r>
    </w:p>
    <w:p>
      <w:pPr>
        <w:spacing w:line="580" w:lineRule="exact"/>
        <w:jc w:val="center"/>
        <w:outlineLvl w:val="0"/>
        <w:rPr>
          <w:rFonts w:ascii="黑体" w:hAnsi="黑体" w:eastAsia="黑体"/>
          <w:sz w:val="32"/>
          <w:szCs w:val="32"/>
        </w:rPr>
      </w:pPr>
      <w:r>
        <w:rPr>
          <w:rFonts w:hint="eastAsia" w:ascii="黑体" w:hAnsi="黑体" w:eastAsia="黑体"/>
          <w:sz w:val="32"/>
          <w:szCs w:val="32"/>
        </w:rPr>
        <w:t>第三部分：机关运行经费安排情况</w:t>
      </w:r>
    </w:p>
    <w:p>
      <w:pPr>
        <w:spacing w:line="580" w:lineRule="exact"/>
        <w:ind w:firstLine="720" w:firstLineChars="225"/>
        <w:rPr>
          <w:rFonts w:hint="eastAsia" w:ascii="仿宋" w:hAnsi="仿宋" w:eastAsia="仿宋"/>
          <w:sz w:val="32"/>
          <w:szCs w:val="32"/>
          <w:lang w:eastAsia="zh-CN"/>
        </w:rPr>
      </w:pPr>
      <w:r>
        <w:rPr>
          <w:rFonts w:hint="eastAsia" w:ascii="仿宋" w:hAnsi="仿宋" w:eastAsia="仿宋"/>
          <w:sz w:val="32"/>
          <w:szCs w:val="32"/>
        </w:rPr>
        <w:t>2019年，我部门机关运行经费安排262.31万元，其中：办公费</w:t>
      </w:r>
      <w:r>
        <w:rPr>
          <w:rFonts w:hint="eastAsia" w:ascii="仿宋" w:hAnsi="仿宋" w:eastAsia="仿宋"/>
          <w:sz w:val="32"/>
          <w:szCs w:val="32"/>
          <w:lang w:val="en-US" w:eastAsia="zh-CN"/>
        </w:rPr>
        <w:t>20</w:t>
      </w:r>
      <w:r>
        <w:rPr>
          <w:rFonts w:hint="eastAsia" w:ascii="仿宋" w:hAnsi="仿宋" w:eastAsia="仿宋"/>
          <w:sz w:val="32"/>
          <w:szCs w:val="32"/>
        </w:rPr>
        <w:t>万元、水费</w:t>
      </w:r>
      <w:r>
        <w:rPr>
          <w:rFonts w:hint="eastAsia" w:ascii="仿宋" w:hAnsi="仿宋" w:eastAsia="仿宋"/>
          <w:sz w:val="32"/>
          <w:szCs w:val="32"/>
          <w:lang w:val="en-US" w:eastAsia="zh-CN"/>
        </w:rPr>
        <w:t>3</w:t>
      </w:r>
      <w:r>
        <w:rPr>
          <w:rFonts w:hint="eastAsia" w:ascii="仿宋" w:hAnsi="仿宋" w:eastAsia="仿宋"/>
          <w:sz w:val="32"/>
          <w:szCs w:val="32"/>
        </w:rPr>
        <w:t>万元、电费</w:t>
      </w:r>
      <w:r>
        <w:rPr>
          <w:rFonts w:hint="eastAsia" w:ascii="仿宋" w:hAnsi="仿宋" w:eastAsia="仿宋"/>
          <w:sz w:val="32"/>
          <w:szCs w:val="32"/>
          <w:lang w:val="en-US" w:eastAsia="zh-CN"/>
        </w:rPr>
        <w:t>10</w:t>
      </w:r>
      <w:r>
        <w:rPr>
          <w:rFonts w:hint="eastAsia" w:ascii="仿宋" w:hAnsi="仿宋" w:eastAsia="仿宋"/>
          <w:sz w:val="32"/>
          <w:szCs w:val="32"/>
        </w:rPr>
        <w:t>万元、取暖费</w:t>
      </w:r>
      <w:r>
        <w:rPr>
          <w:rFonts w:hint="eastAsia" w:ascii="仿宋" w:hAnsi="仿宋" w:eastAsia="仿宋"/>
          <w:sz w:val="32"/>
          <w:szCs w:val="32"/>
          <w:lang w:val="en-US" w:eastAsia="zh-CN"/>
        </w:rPr>
        <w:t>11</w:t>
      </w:r>
      <w:r>
        <w:rPr>
          <w:rFonts w:hint="eastAsia" w:ascii="仿宋" w:hAnsi="仿宋" w:eastAsia="仿宋"/>
          <w:sz w:val="32"/>
          <w:szCs w:val="32"/>
        </w:rPr>
        <w:t>万元、维修（护）费</w:t>
      </w:r>
      <w:r>
        <w:rPr>
          <w:rFonts w:hint="eastAsia" w:ascii="仿宋" w:hAnsi="仿宋" w:eastAsia="仿宋"/>
          <w:sz w:val="32"/>
          <w:szCs w:val="32"/>
          <w:lang w:val="en-US" w:eastAsia="zh-CN"/>
        </w:rPr>
        <w:t>8</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3</w:t>
      </w:r>
      <w:r>
        <w:rPr>
          <w:rFonts w:hint="eastAsia" w:ascii="仿宋" w:hAnsi="仿宋" w:eastAsia="仿宋"/>
          <w:sz w:val="32"/>
          <w:szCs w:val="32"/>
        </w:rPr>
        <w:t>万元</w:t>
      </w:r>
      <w:r>
        <w:rPr>
          <w:rFonts w:hint="eastAsia" w:ascii="仿宋" w:hAnsi="仿宋" w:eastAsia="仿宋"/>
          <w:sz w:val="32"/>
          <w:szCs w:val="32"/>
          <w:lang w:eastAsia="zh-CN"/>
        </w:rPr>
        <w:t>。</w:t>
      </w:r>
    </w:p>
    <w:p>
      <w:pPr>
        <w:spacing w:line="580" w:lineRule="exact"/>
        <w:jc w:val="center"/>
        <w:outlineLvl w:val="0"/>
        <w:rPr>
          <w:rFonts w:hint="eastAsia" w:ascii="黑体" w:hAnsi="黑体" w:eastAsia="黑体"/>
          <w:sz w:val="32"/>
          <w:szCs w:val="32"/>
        </w:rPr>
      </w:pPr>
      <w:r>
        <w:rPr>
          <w:rFonts w:hint="eastAsia" w:ascii="黑体" w:hAnsi="黑体" w:eastAsia="黑体"/>
          <w:sz w:val="32"/>
          <w:szCs w:val="32"/>
        </w:rPr>
        <w:t>第四部分：财政拨款“三公”经费预算情况及增减变化原因</w:t>
      </w:r>
    </w:p>
    <w:p>
      <w:pPr>
        <w:spacing w:line="580" w:lineRule="exact"/>
        <w:jc w:val="center"/>
        <w:outlineLvl w:val="0"/>
        <w:rPr>
          <w:rFonts w:hint="eastAsia" w:ascii="黑体" w:hAnsi="黑体" w:eastAsia="黑体"/>
          <w:sz w:val="32"/>
          <w:szCs w:val="32"/>
        </w:rPr>
      </w:pPr>
    </w:p>
    <w:tbl>
      <w:tblPr>
        <w:tblStyle w:val="7"/>
        <w:tblW w:w="9499" w:type="dxa"/>
        <w:jc w:val="center"/>
        <w:tblInd w:w="-318" w:type="dxa"/>
        <w:tblLayout w:type="fixed"/>
        <w:tblCellMar>
          <w:top w:w="0" w:type="dxa"/>
          <w:left w:w="108" w:type="dxa"/>
          <w:bottom w:w="0" w:type="dxa"/>
          <w:right w:w="108" w:type="dxa"/>
        </w:tblCellMar>
      </w:tblPr>
      <w:tblGrid>
        <w:gridCol w:w="2310"/>
        <w:gridCol w:w="1577"/>
        <w:gridCol w:w="1577"/>
        <w:gridCol w:w="1081"/>
        <w:gridCol w:w="2954"/>
      </w:tblGrid>
      <w:tr>
        <w:tblPrEx>
          <w:tblLayout w:type="fixed"/>
          <w:tblCellMar>
            <w:top w:w="0" w:type="dxa"/>
            <w:left w:w="108" w:type="dxa"/>
            <w:bottom w:w="0" w:type="dxa"/>
            <w:right w:w="108" w:type="dxa"/>
          </w:tblCellMar>
        </w:tblPrEx>
        <w:trPr>
          <w:trHeight w:val="583" w:hRule="atLeast"/>
          <w:jc w:val="center"/>
        </w:trPr>
        <w:tc>
          <w:tcPr>
            <w:tcW w:w="9499" w:type="dxa"/>
            <w:gridSpan w:val="5"/>
            <w:tcBorders>
              <w:top w:val="nil"/>
              <w:left w:val="nil"/>
              <w:bottom w:val="nil"/>
              <w:right w:val="nil"/>
            </w:tcBorders>
            <w:shd w:val="clear" w:color="auto" w:fill="auto"/>
            <w:vAlign w:val="center"/>
          </w:tcPr>
          <w:p>
            <w:pPr>
              <w:widowControl/>
              <w:spacing w:line="520" w:lineRule="exact"/>
              <w:jc w:val="center"/>
              <w:rPr>
                <w:rFonts w:ascii="黑体" w:hAnsi="黑体" w:eastAsia="黑体"/>
                <w:sz w:val="32"/>
                <w:szCs w:val="32"/>
              </w:rPr>
            </w:pPr>
          </w:p>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Layout w:type="fixed"/>
          <w:tblCellMar>
            <w:top w:w="0" w:type="dxa"/>
            <w:left w:w="108" w:type="dxa"/>
            <w:bottom w:w="0" w:type="dxa"/>
            <w:right w:w="108" w:type="dxa"/>
          </w:tblCellMar>
        </w:tblPrEx>
        <w:trPr>
          <w:trHeight w:val="221" w:hRule="atLeast"/>
          <w:jc w:val="center"/>
        </w:trPr>
        <w:tc>
          <w:tcPr>
            <w:tcW w:w="231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577"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577"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081"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954" w:type="dxa"/>
            <w:tcBorders>
              <w:top w:val="nil"/>
              <w:left w:val="nil"/>
              <w:bottom w:val="nil"/>
              <w:right w:val="nil"/>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484" w:hRule="atLeast"/>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120" w:firstLineChars="50"/>
              <w:jc w:val="left"/>
              <w:rPr>
                <w:rFonts w:ascii="黑体" w:hAnsi="黑体" w:eastAsia="黑体" w:cs="宋体"/>
                <w:kern w:val="0"/>
                <w:sz w:val="24"/>
                <w:szCs w:val="24"/>
              </w:rPr>
            </w:pPr>
            <w:r>
              <w:rPr>
                <w:rFonts w:hint="eastAsia" w:ascii="黑体" w:hAnsi="黑体" w:eastAsia="黑体" w:cs="宋体"/>
                <w:kern w:val="0"/>
                <w:sz w:val="24"/>
                <w:szCs w:val="24"/>
              </w:rPr>
              <w:t>2018年度</w:t>
            </w:r>
          </w:p>
          <w:p>
            <w:pPr>
              <w:widowControl/>
              <w:spacing w:line="400" w:lineRule="exact"/>
              <w:ind w:firstLine="120" w:firstLineChars="50"/>
              <w:jc w:val="left"/>
              <w:rPr>
                <w:rFonts w:ascii="黑体" w:hAnsi="黑体" w:eastAsia="黑体" w:cs="宋体"/>
                <w:kern w:val="0"/>
                <w:sz w:val="24"/>
                <w:szCs w:val="24"/>
              </w:rPr>
            </w:pPr>
            <w:r>
              <w:rPr>
                <w:rFonts w:hint="eastAsia" w:ascii="黑体" w:hAnsi="黑体" w:eastAsia="黑体" w:cs="宋体"/>
                <w:kern w:val="0"/>
                <w:sz w:val="24"/>
                <w:szCs w:val="24"/>
              </w:rPr>
              <w:t>预    算</w:t>
            </w: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2019年度</w:t>
            </w:r>
          </w:p>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预     算</w:t>
            </w:r>
          </w:p>
        </w:tc>
        <w:tc>
          <w:tcPr>
            <w:tcW w:w="108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增  减</w:t>
            </w:r>
          </w:p>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金  额</w:t>
            </w:r>
          </w:p>
        </w:tc>
        <w:tc>
          <w:tcPr>
            <w:tcW w:w="2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变化原因</w:t>
            </w:r>
          </w:p>
        </w:tc>
      </w:tr>
      <w:tr>
        <w:tblPrEx>
          <w:tblLayout w:type="fixed"/>
          <w:tblCellMar>
            <w:top w:w="0" w:type="dxa"/>
            <w:left w:w="108" w:type="dxa"/>
            <w:bottom w:w="0" w:type="dxa"/>
            <w:right w:w="108" w:type="dxa"/>
          </w:tblCellMar>
        </w:tblPrEx>
        <w:trPr>
          <w:trHeight w:val="649"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0</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49</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-49</w:t>
            </w:r>
          </w:p>
        </w:tc>
        <w:tc>
          <w:tcPr>
            <w:tcW w:w="2954"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 w:cs="宋体"/>
                <w:kern w:val="0"/>
                <w:sz w:val="24"/>
                <w:szCs w:val="24"/>
                <w:lang w:val="en-US" w:eastAsia="zh-CN"/>
              </w:rPr>
            </w:pPr>
            <w:r>
              <w:rPr>
                <w:rFonts w:hint="eastAsia" w:ascii="仿宋" w:hAnsi="仿宋" w:eastAsia="仿宋" w:cs="宋体"/>
                <w:kern w:val="0"/>
                <w:szCs w:val="21"/>
              </w:rPr>
              <w:t>法院</w:t>
            </w:r>
            <w:r>
              <w:rPr>
                <w:rFonts w:hint="eastAsia" w:ascii="仿宋" w:hAnsi="仿宋" w:eastAsia="仿宋" w:cs="宋体"/>
                <w:kern w:val="0"/>
                <w:szCs w:val="21"/>
                <w:lang w:val="en-US" w:eastAsia="zh-CN"/>
              </w:rPr>
              <w:t>2018年度满足条件已</w:t>
            </w:r>
            <w:r>
              <w:rPr>
                <w:rFonts w:hint="eastAsia" w:ascii="仿宋" w:hAnsi="仿宋" w:eastAsia="仿宋" w:cs="宋体"/>
                <w:kern w:val="0"/>
                <w:szCs w:val="21"/>
              </w:rPr>
              <w:t>新购车辆三辆</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2019年度无需购买新车。</w:t>
            </w:r>
          </w:p>
        </w:tc>
      </w:tr>
      <w:tr>
        <w:tblPrEx>
          <w:tblLayout w:type="fixed"/>
          <w:tblCellMar>
            <w:top w:w="0" w:type="dxa"/>
            <w:left w:w="108" w:type="dxa"/>
            <w:bottom w:w="0" w:type="dxa"/>
            <w:right w:w="108" w:type="dxa"/>
          </w:tblCellMar>
        </w:tblPrEx>
        <w:trPr>
          <w:trHeight w:val="570"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46</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3</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-43</w:t>
            </w:r>
          </w:p>
        </w:tc>
        <w:tc>
          <w:tcPr>
            <w:tcW w:w="295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仿宋_GB2312" w:hAnsi="宋体" w:eastAsia="仿宋" w:cs="宋体"/>
                <w:kern w:val="0"/>
                <w:sz w:val="24"/>
                <w:szCs w:val="24"/>
                <w:lang w:eastAsia="zh-CN"/>
              </w:rPr>
            </w:pPr>
            <w:r>
              <w:rPr>
                <w:rFonts w:hint="eastAsia" w:ascii="仿宋" w:hAnsi="仿宋" w:eastAsia="仿宋" w:cs="宋体"/>
                <w:kern w:val="0"/>
                <w:szCs w:val="21"/>
              </w:rPr>
              <w:t>我单位从政法转移办案专款中开支的执法用车维护费，</w:t>
            </w:r>
            <w:r>
              <w:rPr>
                <w:rFonts w:hint="eastAsia" w:ascii="仿宋" w:hAnsi="仿宋" w:eastAsia="仿宋" w:cs="宋体"/>
                <w:kern w:val="0"/>
                <w:szCs w:val="21"/>
                <w:lang w:eastAsia="zh-CN"/>
              </w:rPr>
              <w:t>本年度专款尚未明确安排，所以未入三公填报。</w:t>
            </w:r>
          </w:p>
        </w:tc>
      </w:tr>
      <w:tr>
        <w:tblPrEx>
          <w:tblLayout w:type="fixed"/>
          <w:tblCellMar>
            <w:top w:w="0" w:type="dxa"/>
            <w:left w:w="108" w:type="dxa"/>
            <w:bottom w:w="0" w:type="dxa"/>
            <w:right w:w="108" w:type="dxa"/>
          </w:tblCellMar>
        </w:tblPrEx>
        <w:trPr>
          <w:trHeight w:val="553"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公务接待经费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5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489"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合     计</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95</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3</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-92</w:t>
            </w:r>
          </w:p>
        </w:tc>
        <w:tc>
          <w:tcPr>
            <w:tcW w:w="295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szCs w:val="24"/>
              </w:rPr>
            </w:pPr>
            <w:r>
              <w:rPr>
                <w:rFonts w:hint="eastAsia" w:ascii="仿宋" w:hAnsi="仿宋" w:eastAsia="仿宋" w:cs="宋体"/>
                <w:kern w:val="0"/>
                <w:szCs w:val="21"/>
              </w:rPr>
              <w:t>201</w:t>
            </w:r>
            <w:r>
              <w:rPr>
                <w:rFonts w:hint="eastAsia" w:ascii="仿宋" w:hAnsi="仿宋" w:eastAsia="仿宋" w:cs="宋体"/>
                <w:kern w:val="0"/>
                <w:szCs w:val="21"/>
                <w:lang w:val="en-US" w:eastAsia="zh-CN"/>
              </w:rPr>
              <w:t>9</w:t>
            </w:r>
            <w:r>
              <w:rPr>
                <w:rFonts w:hint="eastAsia" w:ascii="仿宋" w:hAnsi="仿宋" w:eastAsia="仿宋" w:cs="宋体"/>
                <w:kern w:val="0"/>
                <w:szCs w:val="21"/>
              </w:rPr>
              <w:t>年，我院针对三公经费支出制定了严格的管理制度，认真执行中央“八项规定”，厉行节约，杜绝浪费。但由于计划新购车辆和专款中开支的执法执勤车辆维护费也并入三公经费管理，</w:t>
            </w:r>
            <w:r>
              <w:rPr>
                <w:rFonts w:hint="eastAsia" w:ascii="仿宋" w:hAnsi="仿宋" w:eastAsia="仿宋" w:cs="宋体"/>
                <w:kern w:val="0"/>
                <w:szCs w:val="21"/>
                <w:lang w:eastAsia="zh-CN"/>
              </w:rPr>
              <w:t>而专款项目尚未安排预算，所以</w:t>
            </w:r>
            <w:r>
              <w:rPr>
                <w:rFonts w:hint="eastAsia" w:ascii="仿宋" w:hAnsi="仿宋" w:eastAsia="仿宋" w:cs="宋体"/>
                <w:kern w:val="0"/>
                <w:szCs w:val="21"/>
              </w:rPr>
              <w:t>从总量来讲，我单位的</w:t>
            </w:r>
            <w:r>
              <w:rPr>
                <w:rFonts w:hint="eastAsia" w:ascii="仿宋" w:hAnsi="仿宋" w:eastAsia="仿宋" w:cs="宋体"/>
                <w:kern w:val="0"/>
                <w:szCs w:val="21"/>
                <w:lang w:val="en-US" w:eastAsia="zh-CN"/>
              </w:rPr>
              <w:t>2019年</w:t>
            </w:r>
            <w:r>
              <w:rPr>
                <w:rFonts w:hint="eastAsia" w:ascii="仿宋" w:hAnsi="仿宋" w:eastAsia="仿宋" w:cs="宋体"/>
                <w:kern w:val="0"/>
                <w:szCs w:val="21"/>
              </w:rPr>
              <w:t>三公经费</w:t>
            </w:r>
            <w:r>
              <w:rPr>
                <w:rFonts w:hint="eastAsia" w:ascii="仿宋" w:hAnsi="仿宋" w:eastAsia="仿宋" w:cs="宋体"/>
                <w:kern w:val="0"/>
                <w:szCs w:val="21"/>
                <w:lang w:val="en-US" w:eastAsia="zh-CN"/>
              </w:rPr>
              <w:t>比</w:t>
            </w:r>
            <w:r>
              <w:rPr>
                <w:rFonts w:hint="eastAsia" w:ascii="仿宋" w:hAnsi="仿宋" w:eastAsia="仿宋" w:cs="宋体"/>
                <w:kern w:val="0"/>
                <w:szCs w:val="21"/>
              </w:rPr>
              <w:t>201</w:t>
            </w:r>
            <w:r>
              <w:rPr>
                <w:rFonts w:hint="eastAsia" w:ascii="仿宋" w:hAnsi="仿宋" w:eastAsia="仿宋" w:cs="宋体"/>
                <w:kern w:val="0"/>
                <w:szCs w:val="21"/>
                <w:lang w:val="en-US" w:eastAsia="zh-CN"/>
              </w:rPr>
              <w:t>8</w:t>
            </w:r>
            <w:r>
              <w:rPr>
                <w:rFonts w:hint="eastAsia" w:ascii="仿宋" w:hAnsi="仿宋" w:eastAsia="仿宋" w:cs="宋体"/>
                <w:kern w:val="0"/>
                <w:szCs w:val="21"/>
              </w:rPr>
              <w:t>年相比</w:t>
            </w:r>
            <w:r>
              <w:rPr>
                <w:rFonts w:hint="eastAsia" w:ascii="仿宋" w:hAnsi="仿宋" w:eastAsia="仿宋" w:cs="宋体"/>
                <w:kern w:val="0"/>
                <w:szCs w:val="21"/>
                <w:lang w:eastAsia="zh-CN"/>
              </w:rPr>
              <w:t>减少</w:t>
            </w:r>
            <w:r>
              <w:rPr>
                <w:rFonts w:hint="eastAsia" w:ascii="仿宋" w:hAnsi="仿宋" w:eastAsia="仿宋" w:cs="宋体"/>
                <w:kern w:val="0"/>
                <w:szCs w:val="21"/>
              </w:rPr>
              <w:t>了9</w:t>
            </w:r>
            <w:r>
              <w:rPr>
                <w:rFonts w:hint="eastAsia" w:ascii="仿宋" w:hAnsi="仿宋" w:eastAsia="仿宋" w:cs="宋体"/>
                <w:kern w:val="0"/>
                <w:szCs w:val="21"/>
                <w:lang w:val="en-US" w:eastAsia="zh-CN"/>
              </w:rPr>
              <w:t>2</w:t>
            </w:r>
            <w:r>
              <w:rPr>
                <w:rFonts w:hint="eastAsia" w:ascii="仿宋" w:hAnsi="仿宋" w:eastAsia="仿宋" w:cs="宋体"/>
                <w:kern w:val="0"/>
                <w:szCs w:val="21"/>
              </w:rPr>
              <w:t>万元。</w:t>
            </w:r>
          </w:p>
        </w:tc>
      </w:tr>
    </w:tbl>
    <w:p>
      <w:pPr>
        <w:spacing w:line="580" w:lineRule="exact"/>
        <w:jc w:val="center"/>
        <w:outlineLvl w:val="0"/>
        <w:rPr>
          <w:rFonts w:ascii="黑体" w:hAnsi="黑体" w:eastAsia="黑体"/>
          <w:sz w:val="32"/>
          <w:szCs w:val="32"/>
        </w:rPr>
      </w:pPr>
      <w:r>
        <w:rPr>
          <w:rFonts w:hint="eastAsia" w:ascii="黑体" w:hAnsi="黑体" w:eastAsia="黑体"/>
          <w:sz w:val="32"/>
          <w:szCs w:val="32"/>
        </w:rPr>
        <w:t>第五部分：绩效预算信息</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 xml:space="preserve"> </w:t>
      </w:r>
    </w:p>
    <w:p>
      <w:pPr>
        <w:spacing w:line="520" w:lineRule="exact"/>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一、总体绩效目标：</w:t>
      </w:r>
    </w:p>
    <w:p>
      <w:pPr>
        <w:spacing w:line="52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绩效目标主要有依法惩治刑事犯罪，监督行政机关依法行政，促进社会和谐稳定服务全区工作大局。同时积极推进执法工作进行，切实保障群众的合法权益，维护社会的稳定与正义。完善审判质效体系健全司法权力运行机制，提供司法公信力。不断提高队伍素质和执法能力，推进信息公开化，推进信息公开，改进司法工作作风，树立良好的形象。精简、高效、方便诉讼的原则、科学划分职责、合理分配资源</w:t>
      </w:r>
      <w:r>
        <w:rPr>
          <w:rFonts w:hint="eastAsia" w:ascii="仿宋" w:hAnsi="仿宋" w:eastAsia="仿宋" w:cs="仿宋_GB2312"/>
          <w:sz w:val="32"/>
          <w:szCs w:val="32"/>
          <w:lang w:eastAsia="zh-CN"/>
        </w:rPr>
        <w:t>。</w:t>
      </w:r>
    </w:p>
    <w:p>
      <w:pPr>
        <w:spacing w:line="520" w:lineRule="exact"/>
        <w:jc w:val="both"/>
        <w:rPr>
          <w:rFonts w:hint="eastAsia" w:ascii="仿宋" w:hAnsi="仿宋" w:eastAsia="仿宋"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案件审判管理和执行</w:t>
      </w:r>
    </w:p>
    <w:p>
      <w:pPr>
        <w:spacing w:line="52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妥善审理经济转型过程中引发的各类矛盾纠纷，依法维护国家安全和社会稳定，严惩各类严重刑事犯罪，积极推进平安我区建设，营造良好的法治环境。依法惩治刑事犯罪，监督行政机关依法行政，促进社会和谐，维护社会稳定，服务全区工作大局，发挥服务保障职能。积极推进执行工作，切实保障群众合法权益，维护社会公平正义。完善审判质效评估体系，促进审判质效、健全司法权力运行机制，提升司法公信力。为案件审判提供技术支撑，提高办案质量。</w:t>
      </w:r>
    </w:p>
    <w:p>
      <w:pPr>
        <w:spacing w:line="52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司法救助和国家赔偿</w:t>
      </w:r>
    </w:p>
    <w:p>
      <w:pPr>
        <w:spacing w:line="52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改革涉诉信访工作，推动涉诉信访问题在法治轨道内解决；落实司法为民措施，保护被侵权人合法利益，促进国家机关依法行使职权。保障信访工作正常进行，提高信访案件结案率、信访受理满意度，维护国家机关的正常工作秩序，做好稳控工作。不断完善司法救助，切实保护民生，让人民群众感受到司法以人为本，享受到司法人文关怀。保护被侵害人的合法权益，促进行政机关依法行政。</w:t>
      </w:r>
    </w:p>
    <w:p>
      <w:pPr>
        <w:spacing w:line="52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法院事务管理</w:t>
      </w:r>
    </w:p>
    <w:p>
      <w:pPr>
        <w:spacing w:line="520" w:lineRule="exact"/>
        <w:ind w:firstLine="640" w:firstLineChars="200"/>
        <w:jc w:val="center"/>
        <w:rPr>
          <w:rFonts w:hint="eastAsia" w:ascii="仿宋" w:hAnsi="仿宋" w:eastAsia="仿宋" w:cs="仿宋_GB2312"/>
          <w:sz w:val="32"/>
          <w:szCs w:val="32"/>
        </w:rPr>
      </w:pPr>
      <w:r>
        <w:rPr>
          <w:rFonts w:hint="eastAsia" w:ascii="仿宋" w:hAnsi="仿宋" w:eastAsia="仿宋" w:cs="仿宋_GB2312"/>
          <w:sz w:val="32"/>
          <w:szCs w:val="32"/>
        </w:rPr>
        <w:t>提高队伍素质和执法能力，高质高效完成各项工作。不断提高队伍素质和执法能力，推进信息公开，提升审判质效，改进司法工作作风，树立法院良好形象。加强法院系统队伍建设，加强法院基础设施及信息化建设，加强培训及法院文化建设；总结人民法院审判业务工作经验，建立绩效考核制度，加强对外宣传以及舆论引导，树立法院良好形象。</w:t>
      </w:r>
    </w:p>
    <w:p>
      <w:pPr>
        <w:spacing w:line="520" w:lineRule="exact"/>
        <w:jc w:val="both"/>
        <w:rPr>
          <w:rFonts w:hint="eastAsia" w:ascii="黑体" w:hAnsi="黑体" w:eastAsia="黑体" w:cs="黑体"/>
          <w:b/>
          <w:sz w:val="32"/>
          <w:szCs w:val="32"/>
        </w:rPr>
      </w:pPr>
      <w:r>
        <w:rPr>
          <w:rFonts w:hint="eastAsia" w:ascii="楷体_GB2312" w:hAnsi="楷体_GB2312" w:eastAsia="楷体_GB2312" w:cs="楷体_GB2312"/>
          <w:b/>
          <w:sz w:val="32"/>
          <w:szCs w:val="32"/>
        </w:rPr>
        <w:t>二、实现年度发展规划目标的保障措施</w:t>
      </w:r>
    </w:p>
    <w:p>
      <w:pPr>
        <w:spacing w:line="52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审判刑事案件、民事案件和行政案件</w:t>
      </w:r>
      <w:r>
        <w:rPr>
          <w:rFonts w:hint="eastAsia" w:ascii="仿宋" w:hAnsi="仿宋" w:eastAsia="仿宋" w:cs="仿宋_GB2312"/>
          <w:sz w:val="32"/>
          <w:szCs w:val="32"/>
          <w:lang w:eastAsia="zh-CN"/>
        </w:rPr>
        <w:t>，</w:t>
      </w:r>
      <w:r>
        <w:rPr>
          <w:rFonts w:hint="eastAsia" w:ascii="仿宋" w:hAnsi="仿宋" w:eastAsia="仿宋" w:cs="仿宋_GB2312"/>
          <w:sz w:val="32"/>
          <w:szCs w:val="32"/>
        </w:rPr>
        <w:t>通过审判活动，惩办一切犯罪分子，解决民事纠纷和行政纠纷</w:t>
      </w:r>
      <w:r>
        <w:rPr>
          <w:rFonts w:hint="eastAsia" w:ascii="仿宋" w:hAnsi="仿宋" w:eastAsia="仿宋" w:cs="仿宋_GB2312"/>
          <w:sz w:val="32"/>
          <w:szCs w:val="32"/>
          <w:lang w:eastAsia="zh-CN"/>
        </w:rPr>
        <w:t>，</w:t>
      </w:r>
      <w:r>
        <w:rPr>
          <w:rFonts w:hint="eastAsia" w:ascii="仿宋" w:hAnsi="仿宋" w:eastAsia="仿宋" w:cs="仿宋_GB2312"/>
          <w:sz w:val="32"/>
          <w:szCs w:val="32"/>
        </w:rPr>
        <w:t>保卫人民民主专政制度，维护社会主义法制和社会秩序，保护社会主义的全民所有的财产、劳动群众集体所有的财产，保护公民私人所有的合法财产，保护公民的人身权利、民主权利和其他权利，保障社会主义革命和社会主义建设事业的顺利进行，通过全部审判活动，教育公民忠于社会主义祖国，自觉地遵守宪法和法律。高质高效完成年度各项工作。</w:t>
      </w:r>
    </w:p>
    <w:p>
      <w:pPr>
        <w:rPr>
          <w:rFonts w:asciiTheme="minorEastAsia" w:hAnsiTheme="minorEastAsia" w:eastAsiaTheme="minorEastAsia"/>
          <w:b/>
          <w:bCs/>
          <w:sz w:val="32"/>
          <w:szCs w:val="32"/>
        </w:rPr>
        <w:sectPr>
          <w:footerReference r:id="rId7" w:type="first"/>
          <w:headerReference r:id="rId3" w:type="default"/>
          <w:footerReference r:id="rId5" w:type="default"/>
          <w:headerReference r:id="rId4" w:type="even"/>
          <w:footerReference r:id="rId6" w:type="even"/>
          <w:pgSz w:w="16838" w:h="11906" w:orient="landscape"/>
          <w:pgMar w:top="1588" w:right="2098" w:bottom="1474" w:left="1985" w:header="1247" w:footer="1418" w:gutter="0"/>
          <w:cols w:space="425" w:num="1"/>
          <w:titlePg/>
          <w:docGrid w:type="lines" w:linePitch="579" w:charSpace="0"/>
        </w:sectPr>
      </w:pPr>
      <w:r>
        <w:rPr>
          <w:rFonts w:hint="eastAsia" w:ascii="楷体_GB2312" w:hAnsi="楷体_GB2312" w:eastAsia="楷体_GB2312" w:cs="楷体_GB2312"/>
          <w:b/>
          <w:bCs/>
          <w:sz w:val="32"/>
          <w:szCs w:val="32"/>
        </w:rPr>
        <w:t>二、部门职责及工作活动绩效目标指标</w:t>
      </w:r>
    </w:p>
    <w:p>
      <w:pPr>
        <w:spacing w:line="580" w:lineRule="exact"/>
        <w:jc w:val="center"/>
        <w:outlineLvl w:val="0"/>
        <w:rPr>
          <w:rFonts w:hint="eastAsia" w:ascii="黑体" w:hAnsi="黑体" w:eastAsia="黑体"/>
          <w:sz w:val="32"/>
        </w:rPr>
      </w:pPr>
      <w:bookmarkStart w:id="0" w:name="_Toc479151187"/>
      <w:r>
        <w:rPr>
          <w:rFonts w:hint="eastAsia" w:ascii="黑体" w:hAnsi="黑体" w:eastAsia="黑体"/>
          <w:sz w:val="32"/>
        </w:rPr>
        <w:t>部门职责-工作活动绩效目标</w:t>
      </w:r>
      <w:bookmarkEnd w:id="0"/>
    </w:p>
    <w:p>
      <w:pPr>
        <w:spacing w:line="580" w:lineRule="exact"/>
        <w:jc w:val="center"/>
        <w:outlineLvl w:val="0"/>
        <w:rPr>
          <w:rFonts w:hint="eastAsia" w:ascii="黑体" w:hAnsi="黑体" w:eastAsia="黑体"/>
          <w:sz w:val="32"/>
        </w:rPr>
      </w:pPr>
      <w:r>
        <w:rPr>
          <w:rFonts w:hint="eastAsia" w:ascii="黑体" w:hAnsi="黑体" w:eastAsia="黑体"/>
          <w:sz w:val="24"/>
        </w:rPr>
        <w:t>保定市</w:t>
      </w:r>
      <w:r>
        <w:rPr>
          <w:rFonts w:hint="eastAsia" w:ascii="黑体" w:hAnsi="黑体" w:eastAsia="黑体"/>
          <w:sz w:val="24"/>
          <w:lang w:eastAsia="zh-CN"/>
        </w:rPr>
        <w:t>清苑区人民法院</w:t>
      </w:r>
      <w:r>
        <w:rPr>
          <w:rFonts w:hint="eastAsia" w:ascii="黑体" w:hAnsi="黑体" w:eastAsia="黑体"/>
          <w:sz w:val="24"/>
          <w:lang w:val="en-US" w:eastAsia="zh-CN"/>
        </w:rPr>
        <w:t xml:space="preserve">                                                                             </w:t>
      </w:r>
      <w:r>
        <w:rPr>
          <w:rFonts w:hint="eastAsia" w:ascii="黑体" w:hAnsi="黑体" w:eastAsia="黑体"/>
          <w:sz w:val="24"/>
          <w:lang w:eastAsia="zh-CN"/>
        </w:rPr>
        <w:t>单位：万元</w:t>
      </w:r>
    </w:p>
    <w:tbl>
      <w:tblPr>
        <w:tblStyle w:val="8"/>
        <w:tblW w:w="14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1033"/>
        <w:gridCol w:w="3234"/>
        <w:gridCol w:w="2950"/>
        <w:gridCol w:w="1433"/>
        <w:gridCol w:w="717"/>
        <w:gridCol w:w="733"/>
        <w:gridCol w:w="76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vMerge w:val="restart"/>
            <w:vAlign w:val="center"/>
          </w:tcPr>
          <w:p>
            <w:pPr>
              <w:spacing w:line="300" w:lineRule="exact"/>
              <w:jc w:val="center"/>
              <w:rPr>
                <w:rFonts w:hint="eastAsia" w:ascii="黑体" w:hAnsi="黑体" w:eastAsia="黑体"/>
                <w:sz w:val="32"/>
                <w:szCs w:val="32"/>
                <w:vertAlign w:val="baseline"/>
              </w:rPr>
            </w:pPr>
            <w:r>
              <w:rPr>
                <w:rFonts w:hint="eastAsia" w:ascii="黑体" w:hAnsi="黑体" w:eastAsia="黑体"/>
                <w:b/>
              </w:rPr>
              <w:t>职责活动</w:t>
            </w:r>
          </w:p>
        </w:tc>
        <w:tc>
          <w:tcPr>
            <w:tcW w:w="1033" w:type="dxa"/>
            <w:vMerge w:val="restart"/>
            <w:vAlign w:val="center"/>
          </w:tcPr>
          <w:p>
            <w:pPr>
              <w:spacing w:line="300" w:lineRule="exact"/>
              <w:jc w:val="center"/>
              <w:rPr>
                <w:rFonts w:hint="eastAsia" w:ascii="黑体" w:hAnsi="黑体" w:eastAsia="黑体"/>
                <w:sz w:val="32"/>
                <w:szCs w:val="32"/>
                <w:vertAlign w:val="baseline"/>
              </w:rPr>
            </w:pPr>
            <w:r>
              <w:rPr>
                <w:rFonts w:hint="eastAsia" w:ascii="黑体" w:hAnsi="黑体" w:eastAsia="黑体"/>
                <w:b/>
              </w:rPr>
              <w:t>年度预算数</w:t>
            </w:r>
          </w:p>
        </w:tc>
        <w:tc>
          <w:tcPr>
            <w:tcW w:w="3234" w:type="dxa"/>
            <w:vMerge w:val="restart"/>
            <w:vAlign w:val="center"/>
          </w:tcPr>
          <w:p>
            <w:pPr>
              <w:spacing w:line="300" w:lineRule="exact"/>
              <w:jc w:val="center"/>
              <w:rPr>
                <w:rFonts w:hint="eastAsia" w:ascii="黑体" w:hAnsi="黑体" w:eastAsia="黑体"/>
                <w:sz w:val="32"/>
                <w:szCs w:val="32"/>
                <w:vertAlign w:val="baseline"/>
              </w:rPr>
            </w:pPr>
            <w:r>
              <w:rPr>
                <w:rFonts w:hint="eastAsia" w:ascii="黑体" w:hAnsi="黑体" w:eastAsia="黑体"/>
                <w:b/>
              </w:rPr>
              <w:t>内容描述</w:t>
            </w:r>
          </w:p>
        </w:tc>
        <w:tc>
          <w:tcPr>
            <w:tcW w:w="2950" w:type="dxa"/>
            <w:vMerge w:val="restart"/>
            <w:vAlign w:val="center"/>
          </w:tcPr>
          <w:p>
            <w:pPr>
              <w:spacing w:line="300" w:lineRule="exact"/>
              <w:jc w:val="center"/>
              <w:rPr>
                <w:rFonts w:hint="eastAsia" w:ascii="黑体" w:hAnsi="黑体" w:eastAsia="黑体"/>
                <w:sz w:val="32"/>
                <w:szCs w:val="32"/>
                <w:vertAlign w:val="baseline"/>
              </w:rPr>
            </w:pPr>
            <w:r>
              <w:rPr>
                <w:rFonts w:hint="eastAsia" w:ascii="黑体" w:hAnsi="黑体" w:eastAsia="黑体"/>
                <w:b/>
              </w:rPr>
              <w:t>绩效目标</w:t>
            </w:r>
          </w:p>
        </w:tc>
        <w:tc>
          <w:tcPr>
            <w:tcW w:w="1433" w:type="dxa"/>
            <w:vMerge w:val="restart"/>
            <w:vAlign w:val="center"/>
          </w:tcPr>
          <w:p>
            <w:pPr>
              <w:spacing w:line="300" w:lineRule="exact"/>
              <w:jc w:val="center"/>
              <w:rPr>
                <w:rFonts w:hint="eastAsia" w:ascii="黑体" w:hAnsi="黑体" w:eastAsia="黑体"/>
                <w:sz w:val="32"/>
                <w:szCs w:val="32"/>
                <w:vertAlign w:val="baseline"/>
              </w:rPr>
            </w:pPr>
            <w:r>
              <w:rPr>
                <w:rFonts w:hint="eastAsia" w:ascii="黑体" w:hAnsi="黑体" w:eastAsia="黑体"/>
                <w:b/>
              </w:rPr>
              <w:t>绩效指标</w:t>
            </w:r>
          </w:p>
        </w:tc>
        <w:tc>
          <w:tcPr>
            <w:tcW w:w="2945" w:type="dxa"/>
            <w:gridSpan w:val="4"/>
            <w:vAlign w:val="center"/>
          </w:tcPr>
          <w:p>
            <w:pPr>
              <w:spacing w:line="580" w:lineRule="exact"/>
              <w:jc w:val="center"/>
              <w:outlineLvl w:val="0"/>
              <w:rPr>
                <w:rFonts w:hint="eastAsia" w:ascii="黑体" w:hAnsi="黑体" w:eastAsia="黑体"/>
                <w:sz w:val="32"/>
                <w:szCs w:val="32"/>
                <w:vertAlign w:val="baseline"/>
              </w:rPr>
            </w:pPr>
            <w:r>
              <w:rPr>
                <w:rFonts w:hint="eastAsia" w:ascii="黑体" w:hAnsi="黑体" w:eastAsia="黑体"/>
                <w:b/>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883" w:type="dxa"/>
            <w:vMerge w:val="continue"/>
            <w:vAlign w:val="center"/>
          </w:tcPr>
          <w:p>
            <w:pPr>
              <w:spacing w:line="300" w:lineRule="exact"/>
              <w:jc w:val="left"/>
              <w:outlineLvl w:val="0"/>
              <w:rPr>
                <w:rFonts w:hint="eastAsia" w:ascii="黑体" w:hAnsi="黑体" w:eastAsia="黑体"/>
                <w:sz w:val="32"/>
                <w:szCs w:val="32"/>
                <w:vertAlign w:val="baseline"/>
              </w:rPr>
            </w:pPr>
          </w:p>
        </w:tc>
        <w:tc>
          <w:tcPr>
            <w:tcW w:w="1033" w:type="dxa"/>
            <w:vMerge w:val="continue"/>
            <w:vAlign w:val="center"/>
          </w:tcPr>
          <w:p>
            <w:pPr>
              <w:spacing w:line="300" w:lineRule="exact"/>
              <w:jc w:val="left"/>
              <w:outlineLvl w:val="0"/>
              <w:rPr>
                <w:rFonts w:hint="eastAsia" w:ascii="黑体" w:hAnsi="黑体" w:eastAsia="黑体"/>
                <w:sz w:val="32"/>
                <w:szCs w:val="32"/>
                <w:vertAlign w:val="baseline"/>
              </w:rPr>
            </w:pPr>
          </w:p>
        </w:tc>
        <w:tc>
          <w:tcPr>
            <w:tcW w:w="3234" w:type="dxa"/>
            <w:vMerge w:val="continue"/>
            <w:vAlign w:val="center"/>
          </w:tcPr>
          <w:p>
            <w:pPr>
              <w:spacing w:line="300" w:lineRule="exact"/>
              <w:jc w:val="left"/>
              <w:outlineLvl w:val="0"/>
              <w:rPr>
                <w:rFonts w:hint="eastAsia" w:ascii="黑体" w:hAnsi="黑体" w:eastAsia="黑体"/>
                <w:sz w:val="32"/>
                <w:szCs w:val="32"/>
                <w:vertAlign w:val="baseline"/>
              </w:rPr>
            </w:pPr>
          </w:p>
        </w:tc>
        <w:tc>
          <w:tcPr>
            <w:tcW w:w="2950" w:type="dxa"/>
            <w:vMerge w:val="continue"/>
            <w:vAlign w:val="center"/>
          </w:tcPr>
          <w:p>
            <w:pPr>
              <w:spacing w:line="300" w:lineRule="exact"/>
              <w:jc w:val="left"/>
              <w:outlineLvl w:val="0"/>
              <w:rPr>
                <w:rFonts w:hint="eastAsia" w:ascii="黑体" w:hAnsi="黑体" w:eastAsia="黑体"/>
                <w:sz w:val="32"/>
                <w:szCs w:val="32"/>
                <w:vertAlign w:val="baseline"/>
              </w:rPr>
            </w:pPr>
          </w:p>
        </w:tc>
        <w:tc>
          <w:tcPr>
            <w:tcW w:w="1433" w:type="dxa"/>
            <w:vMerge w:val="continue"/>
            <w:vAlign w:val="center"/>
          </w:tcPr>
          <w:p>
            <w:pPr>
              <w:spacing w:line="300" w:lineRule="exact"/>
              <w:jc w:val="left"/>
              <w:outlineLvl w:val="0"/>
              <w:rPr>
                <w:rFonts w:hint="eastAsia" w:ascii="黑体" w:hAnsi="黑体" w:eastAsia="黑体"/>
                <w:sz w:val="32"/>
                <w:szCs w:val="32"/>
                <w:vertAlign w:val="baseline"/>
              </w:rPr>
            </w:pPr>
          </w:p>
        </w:tc>
        <w:tc>
          <w:tcPr>
            <w:tcW w:w="717" w:type="dxa"/>
            <w:vAlign w:val="center"/>
          </w:tcPr>
          <w:p>
            <w:pPr>
              <w:spacing w:line="300" w:lineRule="exact"/>
              <w:jc w:val="center"/>
              <w:rPr>
                <w:rFonts w:hint="eastAsia" w:eastAsia="宋体"/>
                <w:b/>
                <w:bCs w:val="0"/>
                <w:sz w:val="21"/>
                <w:szCs w:val="21"/>
                <w:lang w:eastAsia="zh-CN"/>
              </w:rPr>
            </w:pPr>
            <w:r>
              <w:rPr>
                <w:rFonts w:hint="eastAsia"/>
                <w:b/>
                <w:bCs w:val="0"/>
                <w:sz w:val="21"/>
                <w:szCs w:val="21"/>
                <w:lang w:eastAsia="zh-CN"/>
              </w:rPr>
              <w:t>优</w:t>
            </w:r>
          </w:p>
        </w:tc>
        <w:tc>
          <w:tcPr>
            <w:tcW w:w="733" w:type="dxa"/>
          </w:tcPr>
          <w:p>
            <w:pPr>
              <w:spacing w:line="580" w:lineRule="exact"/>
              <w:jc w:val="center"/>
              <w:outlineLvl w:val="0"/>
              <w:rPr>
                <w:rFonts w:hint="eastAsia" w:ascii="黑体" w:hAnsi="黑体" w:eastAsia="黑体"/>
                <w:b/>
                <w:bCs w:val="0"/>
                <w:sz w:val="21"/>
                <w:szCs w:val="21"/>
                <w:vertAlign w:val="baseline"/>
                <w:lang w:eastAsia="zh-CN"/>
              </w:rPr>
            </w:pPr>
            <w:r>
              <w:rPr>
                <w:rFonts w:hint="eastAsia" w:ascii="黑体" w:hAnsi="黑体" w:eastAsia="黑体"/>
                <w:b/>
                <w:bCs w:val="0"/>
                <w:sz w:val="21"/>
                <w:szCs w:val="21"/>
                <w:vertAlign w:val="baseline"/>
                <w:lang w:eastAsia="zh-CN"/>
              </w:rPr>
              <w:t>良</w:t>
            </w:r>
          </w:p>
        </w:tc>
        <w:tc>
          <w:tcPr>
            <w:tcW w:w="767" w:type="dxa"/>
          </w:tcPr>
          <w:p>
            <w:pPr>
              <w:spacing w:line="580" w:lineRule="exact"/>
              <w:jc w:val="center"/>
              <w:outlineLvl w:val="0"/>
              <w:rPr>
                <w:rFonts w:hint="eastAsia" w:ascii="黑体" w:hAnsi="黑体" w:eastAsia="黑体"/>
                <w:b/>
                <w:bCs w:val="0"/>
                <w:sz w:val="21"/>
                <w:szCs w:val="21"/>
                <w:vertAlign w:val="baseline"/>
                <w:lang w:eastAsia="zh-CN"/>
              </w:rPr>
            </w:pPr>
            <w:r>
              <w:rPr>
                <w:rFonts w:hint="eastAsia" w:ascii="黑体" w:hAnsi="黑体" w:eastAsia="黑体"/>
                <w:b/>
                <w:bCs w:val="0"/>
                <w:sz w:val="21"/>
                <w:szCs w:val="21"/>
                <w:vertAlign w:val="baseline"/>
                <w:lang w:eastAsia="zh-CN"/>
              </w:rPr>
              <w:t>中</w:t>
            </w:r>
          </w:p>
        </w:tc>
        <w:tc>
          <w:tcPr>
            <w:tcW w:w="728" w:type="dxa"/>
          </w:tcPr>
          <w:p>
            <w:pPr>
              <w:spacing w:line="580" w:lineRule="exact"/>
              <w:jc w:val="center"/>
              <w:outlineLvl w:val="0"/>
              <w:rPr>
                <w:rFonts w:hint="eastAsia" w:ascii="黑体" w:hAnsi="黑体" w:eastAsia="黑体"/>
                <w:b/>
                <w:bCs w:val="0"/>
                <w:sz w:val="21"/>
                <w:szCs w:val="21"/>
                <w:vertAlign w:val="baseline"/>
                <w:lang w:eastAsia="zh-CN"/>
              </w:rPr>
            </w:pPr>
            <w:r>
              <w:rPr>
                <w:rFonts w:hint="eastAsia" w:ascii="黑体" w:hAnsi="黑体" w:eastAsia="黑体"/>
                <w:b/>
                <w:bCs w:val="0"/>
                <w:sz w:val="21"/>
                <w:szCs w:val="21"/>
                <w:vertAlign w:val="baseline"/>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vAlign w:val="top"/>
          </w:tcPr>
          <w:p>
            <w:pPr>
              <w:keepNext w:val="0"/>
              <w:keepLines w:val="0"/>
              <w:widowControl/>
              <w:suppressLineNumbers w:val="0"/>
              <w:jc w:val="center"/>
              <w:textAlignment w:val="top"/>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04-案件审判管理和执行</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vAlign w:val="top"/>
          </w:tcPr>
          <w:p>
            <w:pPr>
              <w:keepNext w:val="0"/>
              <w:keepLines w:val="0"/>
              <w:widowControl/>
              <w:suppressLineNumbers w:val="0"/>
              <w:jc w:val="left"/>
              <w:textAlignment w:val="top"/>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依法审判法律规定由区人民法院管辖的刑事、民事、行政等第一审案件，依法办理发生法律效力判决、其他法律文书的执行，做好审判管理工作</w:t>
            </w:r>
          </w:p>
        </w:tc>
        <w:tc>
          <w:tcPr>
            <w:tcW w:w="2950" w:type="dxa"/>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p>
        </w:tc>
        <w:tc>
          <w:tcPr>
            <w:tcW w:w="717" w:type="dxa"/>
          </w:tcPr>
          <w:p>
            <w:pPr>
              <w:spacing w:line="580" w:lineRule="exact"/>
              <w:jc w:val="center"/>
              <w:outlineLvl w:val="0"/>
              <w:rPr>
                <w:rFonts w:hint="eastAsia" w:ascii="黑体" w:hAnsi="黑体" w:eastAsia="黑体"/>
                <w:sz w:val="21"/>
                <w:szCs w:val="21"/>
                <w:vertAlign w:val="baseline"/>
              </w:rPr>
            </w:pPr>
          </w:p>
        </w:tc>
        <w:tc>
          <w:tcPr>
            <w:tcW w:w="733" w:type="dxa"/>
          </w:tcPr>
          <w:p>
            <w:pPr>
              <w:spacing w:line="580" w:lineRule="exact"/>
              <w:jc w:val="center"/>
              <w:outlineLvl w:val="0"/>
              <w:rPr>
                <w:rFonts w:hint="eastAsia" w:ascii="黑体" w:hAnsi="黑体" w:eastAsia="黑体"/>
                <w:sz w:val="21"/>
                <w:szCs w:val="21"/>
                <w:vertAlign w:val="baseline"/>
              </w:rPr>
            </w:pPr>
          </w:p>
        </w:tc>
        <w:tc>
          <w:tcPr>
            <w:tcW w:w="767" w:type="dxa"/>
          </w:tcPr>
          <w:p>
            <w:pPr>
              <w:spacing w:line="580" w:lineRule="exact"/>
              <w:jc w:val="center"/>
              <w:outlineLvl w:val="0"/>
              <w:rPr>
                <w:rFonts w:hint="eastAsia" w:ascii="黑体" w:hAnsi="黑体" w:eastAsia="黑体"/>
                <w:sz w:val="21"/>
                <w:szCs w:val="21"/>
                <w:vertAlign w:val="baseline"/>
              </w:rPr>
            </w:pPr>
          </w:p>
        </w:tc>
        <w:tc>
          <w:tcPr>
            <w:tcW w:w="728" w:type="dxa"/>
          </w:tcPr>
          <w:p>
            <w:pPr>
              <w:spacing w:line="580" w:lineRule="exact"/>
              <w:jc w:val="center"/>
              <w:outlineLvl w:val="0"/>
              <w:rPr>
                <w:rFonts w:hint="eastAsia" w:ascii="黑体" w:hAnsi="黑体" w:eastAsia="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883" w:type="dxa"/>
            <w:vMerge w:val="restart"/>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0401-案件审判</w:t>
            </w:r>
          </w:p>
        </w:tc>
        <w:tc>
          <w:tcPr>
            <w:tcW w:w="1033" w:type="dxa"/>
            <w:vMerge w:val="restart"/>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vMerge w:val="restart"/>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依法审判刑事、民事、行政案件和上级人民法院交由审判的案件。</w:t>
            </w:r>
          </w:p>
        </w:tc>
        <w:tc>
          <w:tcPr>
            <w:tcW w:w="2950" w:type="dxa"/>
            <w:vMerge w:val="restart"/>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案件调解率</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6%及以上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4</w:t>
            </w:r>
            <w:r>
              <w:rPr>
                <w:rFonts w:hint="eastAsia" w:ascii="黑体" w:hAnsi="黑体" w:eastAsia="黑体"/>
                <w:sz w:val="21"/>
                <w:szCs w:val="21"/>
                <w:vertAlign w:val="baseline"/>
              </w:rPr>
              <w:t>%及以上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2</w:t>
            </w:r>
            <w:r>
              <w:rPr>
                <w:rFonts w:hint="eastAsia" w:ascii="黑体" w:hAnsi="黑体" w:eastAsia="黑体"/>
                <w:sz w:val="21"/>
                <w:szCs w:val="21"/>
                <w:vertAlign w:val="baseline"/>
              </w:rPr>
              <w:t>%及以上</w:t>
            </w:r>
          </w:p>
        </w:tc>
        <w:tc>
          <w:tcPr>
            <w:tcW w:w="728"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2</w:t>
            </w:r>
            <w:r>
              <w:rPr>
                <w:rFonts w:hint="eastAsia" w:ascii="黑体" w:hAnsi="黑体" w:eastAsia="黑体"/>
                <w:sz w:val="21"/>
                <w:szCs w:val="21"/>
                <w:vertAlign w:val="baseline"/>
              </w:rPr>
              <w:t>%以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883" w:type="dxa"/>
            <w:vMerge w:val="continue"/>
          </w:tcPr>
          <w:p>
            <w:pPr>
              <w:spacing w:line="580" w:lineRule="exact"/>
              <w:jc w:val="center"/>
              <w:outlineLvl w:val="0"/>
            </w:pPr>
          </w:p>
        </w:tc>
        <w:tc>
          <w:tcPr>
            <w:tcW w:w="1033" w:type="dxa"/>
            <w:vMerge w:val="continue"/>
          </w:tcPr>
          <w:p>
            <w:pPr>
              <w:spacing w:line="580" w:lineRule="exact"/>
              <w:jc w:val="center"/>
              <w:outlineLvl w:val="0"/>
            </w:pPr>
          </w:p>
        </w:tc>
        <w:tc>
          <w:tcPr>
            <w:tcW w:w="3234" w:type="dxa"/>
            <w:vMerge w:val="continue"/>
          </w:tcPr>
          <w:p>
            <w:pPr>
              <w:spacing w:line="580" w:lineRule="exact"/>
              <w:jc w:val="center"/>
              <w:outlineLvl w:val="0"/>
            </w:pPr>
          </w:p>
        </w:tc>
        <w:tc>
          <w:tcPr>
            <w:tcW w:w="2950" w:type="dxa"/>
            <w:vMerge w:val="continue"/>
          </w:tcPr>
          <w:p>
            <w:pPr>
              <w:spacing w:line="580" w:lineRule="exact"/>
              <w:jc w:val="center"/>
              <w:outlineLvl w:val="0"/>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结案时间</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10</w:t>
            </w:r>
            <w:r>
              <w:rPr>
                <w:rFonts w:hint="eastAsia" w:ascii="黑体" w:hAnsi="黑体" w:eastAsia="黑体"/>
                <w:sz w:val="21"/>
                <w:szCs w:val="21"/>
                <w:vertAlign w:val="baseline"/>
              </w:rPr>
              <w:t>%及以上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5</w:t>
            </w:r>
            <w:r>
              <w:rPr>
                <w:rFonts w:hint="eastAsia" w:ascii="黑体" w:hAnsi="黑体" w:eastAsia="黑体"/>
                <w:sz w:val="21"/>
                <w:szCs w:val="21"/>
                <w:vertAlign w:val="baseline"/>
              </w:rPr>
              <w:t>%及以上</w:t>
            </w:r>
          </w:p>
        </w:tc>
        <w:tc>
          <w:tcPr>
            <w:tcW w:w="767"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eastAsia="zh-CN"/>
              </w:rPr>
              <w:t>规定时限</w:t>
            </w:r>
          </w:p>
        </w:tc>
        <w:tc>
          <w:tcPr>
            <w:tcW w:w="728" w:type="dxa"/>
          </w:tcPr>
          <w:p>
            <w:pPr>
              <w:spacing w:line="580" w:lineRule="exact"/>
              <w:jc w:val="center"/>
              <w:outlineLvl w:val="0"/>
              <w:rPr>
                <w:rFonts w:hint="eastAsia" w:ascii="黑体" w:hAnsi="黑体" w:eastAsia="黑体"/>
                <w:sz w:val="21"/>
                <w:szCs w:val="21"/>
                <w:vertAlign w:val="baseline"/>
                <w:lang w:val="en-US" w:eastAsia="zh-CN"/>
              </w:rPr>
            </w:pPr>
            <w:r>
              <w:rPr>
                <w:rFonts w:hint="eastAsia" w:ascii="黑体" w:hAnsi="黑体" w:eastAsia="黑体"/>
                <w:sz w:val="21"/>
                <w:szCs w:val="21"/>
                <w:vertAlign w:val="baseline"/>
                <w:lang w:val="en-US" w:eastAsia="zh-CN"/>
              </w:rPr>
              <w:t>超出审限时间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883" w:type="dxa"/>
            <w:vMerge w:val="continue"/>
          </w:tcPr>
          <w:p>
            <w:pPr>
              <w:spacing w:line="580" w:lineRule="exact"/>
              <w:jc w:val="center"/>
              <w:outlineLvl w:val="0"/>
              <w:rPr>
                <w:rFonts w:hint="eastAsia" w:ascii="黑体" w:hAnsi="黑体" w:eastAsia="黑体"/>
                <w:sz w:val="21"/>
                <w:szCs w:val="21"/>
                <w:vertAlign w:val="baseline"/>
              </w:rPr>
            </w:pPr>
          </w:p>
        </w:tc>
        <w:tc>
          <w:tcPr>
            <w:tcW w:w="1033" w:type="dxa"/>
            <w:vMerge w:val="continue"/>
          </w:tcPr>
          <w:p>
            <w:pPr>
              <w:spacing w:line="580" w:lineRule="exact"/>
              <w:jc w:val="center"/>
              <w:outlineLvl w:val="0"/>
              <w:rPr>
                <w:rFonts w:hint="eastAsia" w:ascii="黑体" w:hAnsi="黑体" w:eastAsia="黑体"/>
                <w:sz w:val="21"/>
                <w:szCs w:val="21"/>
                <w:vertAlign w:val="baseline"/>
              </w:rPr>
            </w:pPr>
          </w:p>
        </w:tc>
        <w:tc>
          <w:tcPr>
            <w:tcW w:w="3234" w:type="dxa"/>
            <w:vMerge w:val="continue"/>
          </w:tcPr>
          <w:p>
            <w:pPr>
              <w:spacing w:line="580" w:lineRule="exact"/>
              <w:jc w:val="center"/>
              <w:outlineLvl w:val="0"/>
              <w:rPr>
                <w:rFonts w:hint="eastAsia" w:ascii="黑体" w:hAnsi="黑体" w:eastAsia="黑体"/>
                <w:sz w:val="21"/>
                <w:szCs w:val="21"/>
                <w:vertAlign w:val="baseline"/>
              </w:rPr>
            </w:pPr>
          </w:p>
        </w:tc>
        <w:tc>
          <w:tcPr>
            <w:tcW w:w="2950" w:type="dxa"/>
            <w:vMerge w:val="continue"/>
          </w:tcPr>
          <w:p>
            <w:pPr>
              <w:spacing w:line="580" w:lineRule="exact"/>
              <w:jc w:val="center"/>
              <w:outlineLvl w:val="0"/>
              <w:rPr>
                <w:rFonts w:hint="eastAsia" w:ascii="黑体" w:hAnsi="黑体" w:eastAsia="黑体"/>
                <w:sz w:val="21"/>
                <w:szCs w:val="21"/>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案件结案率</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90</w:t>
            </w:r>
            <w:r>
              <w:rPr>
                <w:rFonts w:hint="eastAsia" w:ascii="黑体" w:hAnsi="黑体" w:eastAsia="黑体"/>
                <w:sz w:val="21"/>
                <w:szCs w:val="21"/>
                <w:vertAlign w:val="baseline"/>
              </w:rPr>
              <w:t>%及以上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80</w:t>
            </w:r>
            <w:r>
              <w:rPr>
                <w:rFonts w:hint="eastAsia" w:ascii="黑体" w:hAnsi="黑体" w:eastAsia="黑体"/>
                <w:sz w:val="21"/>
                <w:szCs w:val="21"/>
                <w:vertAlign w:val="baseline"/>
              </w:rPr>
              <w:t>%及以上</w:t>
            </w:r>
          </w:p>
        </w:tc>
        <w:tc>
          <w:tcPr>
            <w:tcW w:w="767"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80</w:t>
            </w:r>
            <w:r>
              <w:rPr>
                <w:rFonts w:hint="eastAsia" w:ascii="黑体" w:hAnsi="黑体" w:eastAsia="黑体"/>
                <w:sz w:val="21"/>
                <w:szCs w:val="21"/>
                <w:vertAlign w:val="baseline"/>
              </w:rPr>
              <w:t>%及以</w:t>
            </w:r>
            <w:r>
              <w:rPr>
                <w:rFonts w:hint="eastAsia" w:ascii="黑体" w:hAnsi="黑体" w:eastAsia="黑体"/>
                <w:sz w:val="21"/>
                <w:szCs w:val="21"/>
                <w:vertAlign w:val="baseline"/>
                <w:lang w:eastAsia="zh-CN"/>
              </w:rPr>
              <w:t>上</w:t>
            </w:r>
          </w:p>
        </w:tc>
        <w:tc>
          <w:tcPr>
            <w:tcW w:w="728"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80</w:t>
            </w:r>
            <w:r>
              <w:rPr>
                <w:rFonts w:hint="eastAsia" w:ascii="黑体" w:hAnsi="黑体" w:eastAsia="黑体"/>
                <w:sz w:val="21"/>
                <w:szCs w:val="21"/>
                <w:vertAlign w:val="baseline"/>
              </w:rPr>
              <w:t>%以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883" w:type="dxa"/>
            <w:vMerge w:val="restart"/>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0402-案件判决执行</w:t>
            </w:r>
          </w:p>
        </w:tc>
        <w:tc>
          <w:tcPr>
            <w:tcW w:w="1033" w:type="dxa"/>
            <w:vMerge w:val="restart"/>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vMerge w:val="restart"/>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执行本院已经发生法律效力的法律文书和法律规定由本院执行的其他生效法律文书及委托执行案件。</w:t>
            </w:r>
          </w:p>
        </w:tc>
        <w:tc>
          <w:tcPr>
            <w:tcW w:w="2950" w:type="dxa"/>
            <w:vMerge w:val="restart"/>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结案时间</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10%及以上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5</w:t>
            </w:r>
            <w:r>
              <w:rPr>
                <w:rFonts w:hint="eastAsia" w:ascii="黑体" w:hAnsi="黑体" w:eastAsia="黑体"/>
                <w:sz w:val="21"/>
                <w:szCs w:val="21"/>
                <w:vertAlign w:val="baseline"/>
              </w:rPr>
              <w:t>%及以上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eastAsia="zh-CN"/>
              </w:rPr>
              <w:t>规定时限</w:t>
            </w:r>
          </w:p>
        </w:tc>
        <w:tc>
          <w:tcPr>
            <w:tcW w:w="728"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超出审限时间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883" w:type="dxa"/>
            <w:vMerge w:val="continue"/>
          </w:tcPr>
          <w:p>
            <w:pPr>
              <w:spacing w:line="580" w:lineRule="exact"/>
              <w:jc w:val="center"/>
              <w:outlineLvl w:val="0"/>
            </w:pPr>
          </w:p>
        </w:tc>
        <w:tc>
          <w:tcPr>
            <w:tcW w:w="1033" w:type="dxa"/>
            <w:vMerge w:val="continue"/>
          </w:tcPr>
          <w:p>
            <w:pPr>
              <w:spacing w:line="580" w:lineRule="exact"/>
              <w:jc w:val="center"/>
              <w:outlineLvl w:val="0"/>
            </w:pPr>
          </w:p>
        </w:tc>
        <w:tc>
          <w:tcPr>
            <w:tcW w:w="3234" w:type="dxa"/>
            <w:vMerge w:val="continue"/>
          </w:tcPr>
          <w:p>
            <w:pPr>
              <w:spacing w:line="580" w:lineRule="exact"/>
              <w:jc w:val="center"/>
              <w:outlineLvl w:val="0"/>
            </w:pPr>
          </w:p>
        </w:tc>
        <w:tc>
          <w:tcPr>
            <w:tcW w:w="2950" w:type="dxa"/>
            <w:vMerge w:val="continue"/>
          </w:tcPr>
          <w:p>
            <w:pPr>
              <w:spacing w:line="580" w:lineRule="exact"/>
              <w:jc w:val="center"/>
              <w:outlineLvl w:val="0"/>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案件结案率</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80</w:t>
            </w:r>
            <w:r>
              <w:rPr>
                <w:rFonts w:hint="eastAsia" w:ascii="黑体" w:hAnsi="黑体" w:eastAsia="黑体"/>
                <w:sz w:val="21"/>
                <w:szCs w:val="21"/>
                <w:vertAlign w:val="baseline"/>
              </w:rPr>
              <w:t>%及以上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70</w:t>
            </w:r>
            <w:r>
              <w:rPr>
                <w:rFonts w:hint="eastAsia" w:ascii="黑体" w:hAnsi="黑体" w:eastAsia="黑体"/>
                <w:sz w:val="21"/>
                <w:szCs w:val="21"/>
                <w:vertAlign w:val="baseline"/>
              </w:rPr>
              <w:t>%及以上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0%及以上</w:t>
            </w:r>
          </w:p>
        </w:tc>
        <w:tc>
          <w:tcPr>
            <w:tcW w:w="728"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2883" w:type="dxa"/>
            <w:vMerge w:val="continue"/>
          </w:tcPr>
          <w:p>
            <w:pPr>
              <w:spacing w:line="580" w:lineRule="exact"/>
              <w:jc w:val="center"/>
              <w:outlineLvl w:val="0"/>
              <w:rPr>
                <w:rFonts w:hint="eastAsia" w:ascii="黑体" w:hAnsi="黑体" w:eastAsia="黑体"/>
                <w:sz w:val="21"/>
                <w:szCs w:val="21"/>
                <w:vertAlign w:val="baseline"/>
              </w:rPr>
            </w:pPr>
          </w:p>
        </w:tc>
        <w:tc>
          <w:tcPr>
            <w:tcW w:w="1033" w:type="dxa"/>
            <w:vMerge w:val="continue"/>
          </w:tcPr>
          <w:p>
            <w:pPr>
              <w:spacing w:line="580" w:lineRule="exact"/>
              <w:jc w:val="center"/>
              <w:outlineLvl w:val="0"/>
              <w:rPr>
                <w:rFonts w:hint="eastAsia" w:ascii="黑体" w:hAnsi="黑体" w:eastAsia="黑体"/>
                <w:sz w:val="21"/>
                <w:szCs w:val="21"/>
                <w:vertAlign w:val="baseline"/>
              </w:rPr>
            </w:pPr>
          </w:p>
        </w:tc>
        <w:tc>
          <w:tcPr>
            <w:tcW w:w="3234" w:type="dxa"/>
            <w:vMerge w:val="continue"/>
          </w:tcPr>
          <w:p>
            <w:pPr>
              <w:spacing w:line="580" w:lineRule="exact"/>
              <w:jc w:val="center"/>
              <w:outlineLvl w:val="0"/>
              <w:rPr>
                <w:rFonts w:hint="eastAsia" w:ascii="黑体" w:hAnsi="黑体" w:eastAsia="黑体"/>
                <w:sz w:val="21"/>
                <w:szCs w:val="21"/>
                <w:vertAlign w:val="baseline"/>
              </w:rPr>
            </w:pPr>
          </w:p>
        </w:tc>
        <w:tc>
          <w:tcPr>
            <w:tcW w:w="2950" w:type="dxa"/>
            <w:vMerge w:val="continue"/>
          </w:tcPr>
          <w:p>
            <w:pPr>
              <w:spacing w:line="580" w:lineRule="exact"/>
              <w:jc w:val="center"/>
              <w:outlineLvl w:val="0"/>
              <w:rPr>
                <w:rFonts w:hint="eastAsia" w:ascii="黑体" w:hAnsi="黑体" w:eastAsia="黑体"/>
                <w:sz w:val="21"/>
                <w:szCs w:val="21"/>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执行案件执结时间</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10%及以上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5</w:t>
            </w:r>
            <w:r>
              <w:rPr>
                <w:rFonts w:hint="eastAsia" w:ascii="黑体" w:hAnsi="黑体" w:eastAsia="黑体"/>
                <w:sz w:val="21"/>
                <w:szCs w:val="21"/>
                <w:vertAlign w:val="baseline"/>
              </w:rPr>
              <w:t>%及以上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eastAsia="zh-CN"/>
              </w:rPr>
              <w:t>规定时限</w:t>
            </w:r>
          </w:p>
        </w:tc>
        <w:tc>
          <w:tcPr>
            <w:tcW w:w="728"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超出审限时间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2883" w:type="dxa"/>
            <w:vMerge w:val="restart"/>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0403-审判管理</w:t>
            </w:r>
          </w:p>
        </w:tc>
        <w:tc>
          <w:tcPr>
            <w:tcW w:w="1033" w:type="dxa"/>
            <w:vMerge w:val="restart"/>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vMerge w:val="restart"/>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规范、保障、促进审判执行工作，包括：案件信息管理、案件质量评估、案件质量评查、审判流程管理、审判运势分析等。</w:t>
            </w:r>
          </w:p>
        </w:tc>
        <w:tc>
          <w:tcPr>
            <w:tcW w:w="2950" w:type="dxa"/>
            <w:vMerge w:val="restart"/>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审判程序合规率</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1</w:t>
            </w:r>
            <w:r>
              <w:rPr>
                <w:rFonts w:hint="eastAsia" w:ascii="黑体" w:hAnsi="黑体" w:eastAsia="黑体"/>
                <w:sz w:val="21"/>
                <w:szCs w:val="21"/>
                <w:vertAlign w:val="baseline"/>
                <w:lang w:val="en-US" w:eastAsia="zh-CN"/>
              </w:rPr>
              <w:t>0</w:t>
            </w:r>
            <w:r>
              <w:rPr>
                <w:rFonts w:hint="eastAsia" w:ascii="黑体" w:hAnsi="黑体" w:eastAsia="黑体"/>
                <w:sz w:val="21"/>
                <w:szCs w:val="21"/>
                <w:vertAlign w:val="baseline"/>
              </w:rPr>
              <w:t>0%及以上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0%及以上</w:t>
            </w:r>
          </w:p>
        </w:tc>
        <w:tc>
          <w:tcPr>
            <w:tcW w:w="728"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2883" w:type="dxa"/>
            <w:vMerge w:val="continue"/>
          </w:tcPr>
          <w:p>
            <w:pPr>
              <w:spacing w:line="580" w:lineRule="exact"/>
              <w:jc w:val="center"/>
              <w:outlineLvl w:val="0"/>
            </w:pPr>
          </w:p>
        </w:tc>
        <w:tc>
          <w:tcPr>
            <w:tcW w:w="1033" w:type="dxa"/>
            <w:vMerge w:val="continue"/>
          </w:tcPr>
          <w:p>
            <w:pPr>
              <w:spacing w:line="580" w:lineRule="exact"/>
              <w:jc w:val="center"/>
              <w:outlineLvl w:val="0"/>
            </w:pPr>
          </w:p>
        </w:tc>
        <w:tc>
          <w:tcPr>
            <w:tcW w:w="3234" w:type="dxa"/>
            <w:vMerge w:val="continue"/>
          </w:tcPr>
          <w:p>
            <w:pPr>
              <w:spacing w:line="580" w:lineRule="exact"/>
              <w:jc w:val="center"/>
              <w:outlineLvl w:val="0"/>
            </w:pPr>
          </w:p>
        </w:tc>
        <w:tc>
          <w:tcPr>
            <w:tcW w:w="2950" w:type="dxa"/>
            <w:vMerge w:val="continue"/>
          </w:tcPr>
          <w:p>
            <w:pPr>
              <w:spacing w:line="580" w:lineRule="exact"/>
              <w:jc w:val="center"/>
              <w:outlineLvl w:val="0"/>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审判程序合规率</w:t>
            </w:r>
          </w:p>
        </w:tc>
        <w:tc>
          <w:tcPr>
            <w:tcW w:w="717"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1</w:t>
            </w:r>
            <w:r>
              <w:rPr>
                <w:rFonts w:hint="eastAsia" w:ascii="黑体" w:hAnsi="黑体" w:eastAsia="黑体"/>
                <w:sz w:val="21"/>
                <w:szCs w:val="21"/>
                <w:vertAlign w:val="baseline"/>
                <w:lang w:val="en-US" w:eastAsia="zh-CN"/>
              </w:rPr>
              <w:t>0</w:t>
            </w:r>
            <w:r>
              <w:rPr>
                <w:rFonts w:hint="eastAsia" w:ascii="黑体" w:hAnsi="黑体" w:eastAsia="黑体"/>
                <w:sz w:val="21"/>
                <w:szCs w:val="21"/>
                <w:vertAlign w:val="baseline"/>
              </w:rPr>
              <w:t>0%及以上</w:t>
            </w:r>
          </w:p>
        </w:tc>
        <w:tc>
          <w:tcPr>
            <w:tcW w:w="733"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0%及以上</w:t>
            </w:r>
          </w:p>
        </w:tc>
        <w:tc>
          <w:tcPr>
            <w:tcW w:w="767"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0%及以上</w:t>
            </w:r>
          </w:p>
        </w:tc>
        <w:tc>
          <w:tcPr>
            <w:tcW w:w="728"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05-司法救助和国家赔偿</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完成涉法涉诉类案件的息诉罢访工作，依法办理国家赔偿案件。</w:t>
            </w:r>
          </w:p>
        </w:tc>
        <w:tc>
          <w:tcPr>
            <w:tcW w:w="2950" w:type="dxa"/>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p>
        </w:tc>
        <w:tc>
          <w:tcPr>
            <w:tcW w:w="717" w:type="dxa"/>
          </w:tcPr>
          <w:p>
            <w:pPr>
              <w:spacing w:line="580" w:lineRule="exact"/>
              <w:jc w:val="center"/>
              <w:outlineLvl w:val="0"/>
              <w:rPr>
                <w:rFonts w:hint="eastAsia" w:ascii="黑体" w:hAnsi="黑体" w:eastAsia="黑体"/>
                <w:sz w:val="21"/>
                <w:szCs w:val="21"/>
                <w:vertAlign w:val="baseline"/>
              </w:rPr>
            </w:pPr>
          </w:p>
        </w:tc>
        <w:tc>
          <w:tcPr>
            <w:tcW w:w="733" w:type="dxa"/>
          </w:tcPr>
          <w:p>
            <w:pPr>
              <w:spacing w:line="580" w:lineRule="exact"/>
              <w:jc w:val="center"/>
              <w:outlineLvl w:val="0"/>
              <w:rPr>
                <w:rFonts w:hint="eastAsia" w:ascii="黑体" w:hAnsi="黑体" w:eastAsia="黑体"/>
                <w:sz w:val="21"/>
                <w:szCs w:val="21"/>
                <w:vertAlign w:val="baseline"/>
              </w:rPr>
            </w:pPr>
          </w:p>
        </w:tc>
        <w:tc>
          <w:tcPr>
            <w:tcW w:w="767" w:type="dxa"/>
          </w:tcPr>
          <w:p>
            <w:pPr>
              <w:spacing w:line="580" w:lineRule="exact"/>
              <w:jc w:val="center"/>
              <w:outlineLvl w:val="0"/>
              <w:rPr>
                <w:rFonts w:hint="eastAsia" w:ascii="黑体" w:hAnsi="黑体" w:eastAsia="黑体"/>
                <w:sz w:val="21"/>
                <w:szCs w:val="21"/>
                <w:vertAlign w:val="baseline"/>
              </w:rPr>
            </w:pPr>
          </w:p>
        </w:tc>
        <w:tc>
          <w:tcPr>
            <w:tcW w:w="728" w:type="dxa"/>
          </w:tcPr>
          <w:p>
            <w:pPr>
              <w:spacing w:line="580" w:lineRule="exact"/>
              <w:jc w:val="center"/>
              <w:outlineLvl w:val="0"/>
              <w:rPr>
                <w:rFonts w:hint="eastAsia" w:ascii="黑体" w:hAnsi="黑体" w:eastAsia="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3" w:hRule="atLeast"/>
          <w:jc w:val="center"/>
        </w:trPr>
        <w:tc>
          <w:tcPr>
            <w:tcW w:w="2883"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0501-涉法涉诉</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完成涉法涉诉类上访案件的息诉罢访工作，做好“两会”、重大活动期间的维稳工作，接待分流越级上访人员、协助处理到上级法院的集体访和闹访人员的稳控遣返工作。</w:t>
            </w:r>
          </w:p>
        </w:tc>
        <w:tc>
          <w:tcPr>
            <w:tcW w:w="2950" w:type="dxa"/>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信访案件结案率</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9</w:t>
            </w:r>
            <w:r>
              <w:rPr>
                <w:rFonts w:hint="eastAsia" w:ascii="黑体" w:hAnsi="黑体" w:eastAsia="黑体"/>
                <w:sz w:val="21"/>
                <w:szCs w:val="21"/>
                <w:vertAlign w:val="baseline"/>
              </w:rPr>
              <w:t>0%及以上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0%及以上</w:t>
            </w:r>
          </w:p>
        </w:tc>
        <w:tc>
          <w:tcPr>
            <w:tcW w:w="728"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60</w:t>
            </w:r>
            <w:r>
              <w:rPr>
                <w:rFonts w:hint="eastAsia" w:ascii="黑体" w:hAnsi="黑体" w:eastAsia="黑体"/>
                <w:sz w:val="21"/>
                <w:szCs w:val="21"/>
                <w:vertAlign w:val="baseline"/>
              </w:rPr>
              <w:t>%以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0502-司法救助</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对受到侵害但无法获得有效赔偿的当事人给予资助。</w:t>
            </w:r>
          </w:p>
        </w:tc>
        <w:tc>
          <w:tcPr>
            <w:tcW w:w="2950" w:type="dxa"/>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息诉罢访率</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9</w:t>
            </w:r>
            <w:r>
              <w:rPr>
                <w:rFonts w:hint="eastAsia" w:ascii="黑体" w:hAnsi="黑体" w:eastAsia="黑体"/>
                <w:sz w:val="21"/>
                <w:szCs w:val="21"/>
                <w:vertAlign w:val="baseline"/>
              </w:rPr>
              <w:t>0%及以上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0%及以上</w:t>
            </w:r>
          </w:p>
        </w:tc>
        <w:tc>
          <w:tcPr>
            <w:tcW w:w="728"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6</w:t>
            </w:r>
            <w:r>
              <w:rPr>
                <w:rFonts w:hint="eastAsia" w:ascii="黑体" w:hAnsi="黑体" w:eastAsia="黑体"/>
                <w:sz w:val="21"/>
                <w:szCs w:val="21"/>
                <w:vertAlign w:val="baseline"/>
              </w:rPr>
              <w:t>0%以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0503-国家赔偿</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执行赔偿委员会决定事项，审查处理赔偿告诉申诉案件。主要工作包括调查、取证，审理。</w:t>
            </w:r>
          </w:p>
        </w:tc>
        <w:tc>
          <w:tcPr>
            <w:tcW w:w="2950" w:type="dxa"/>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司法救助数量</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批复到位的救助资金发放率95%以上</w:t>
            </w:r>
          </w:p>
          <w:p>
            <w:pPr>
              <w:ind w:firstLine="217" w:firstLineChars="0"/>
              <w:jc w:val="left"/>
              <w:rPr>
                <w:rFonts w:hint="eastAsia" w:ascii="黑体" w:hAnsi="黑体" w:eastAsia="黑体" w:cs="Times New Roman"/>
                <w:kern w:val="2"/>
                <w:sz w:val="21"/>
                <w:szCs w:val="21"/>
                <w:vertAlign w:val="baseline"/>
                <w:lang w:val="en-US" w:eastAsia="zh-CN" w:bidi="ar-SA"/>
              </w:rPr>
            </w:pP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批复到位的救助资金发放率9</w:t>
            </w:r>
            <w:r>
              <w:rPr>
                <w:rFonts w:hint="eastAsia" w:ascii="黑体" w:hAnsi="黑体" w:eastAsia="黑体"/>
                <w:sz w:val="21"/>
                <w:szCs w:val="21"/>
                <w:vertAlign w:val="baseline"/>
                <w:lang w:val="en-US" w:eastAsia="zh-CN"/>
              </w:rPr>
              <w:t>0</w:t>
            </w:r>
            <w:r>
              <w:rPr>
                <w:rFonts w:hint="eastAsia" w:ascii="黑体" w:hAnsi="黑体" w:eastAsia="黑体"/>
                <w:sz w:val="21"/>
                <w:szCs w:val="21"/>
                <w:vertAlign w:val="baseline"/>
              </w:rPr>
              <w:t>%以上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批复到位的救助资金发放率</w:t>
            </w:r>
            <w:r>
              <w:rPr>
                <w:rFonts w:hint="eastAsia" w:ascii="黑体" w:hAnsi="黑体" w:eastAsia="黑体"/>
                <w:sz w:val="21"/>
                <w:szCs w:val="21"/>
                <w:vertAlign w:val="baseline"/>
                <w:lang w:val="en-US" w:eastAsia="zh-CN"/>
              </w:rPr>
              <w:t>85</w:t>
            </w:r>
            <w:r>
              <w:rPr>
                <w:rFonts w:hint="eastAsia" w:ascii="黑体" w:hAnsi="黑体" w:eastAsia="黑体"/>
                <w:sz w:val="21"/>
                <w:szCs w:val="21"/>
                <w:vertAlign w:val="baseline"/>
              </w:rPr>
              <w:t>%以上</w:t>
            </w:r>
          </w:p>
        </w:tc>
        <w:tc>
          <w:tcPr>
            <w:tcW w:w="728"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批复到位的救助资金发放率</w:t>
            </w:r>
            <w:r>
              <w:rPr>
                <w:rFonts w:hint="eastAsia" w:ascii="黑体" w:hAnsi="黑体" w:eastAsia="黑体"/>
                <w:sz w:val="21"/>
                <w:szCs w:val="21"/>
                <w:vertAlign w:val="baseline"/>
                <w:lang w:val="en-US" w:eastAsia="zh-CN"/>
              </w:rPr>
              <w:t>80</w:t>
            </w:r>
            <w:r>
              <w:rPr>
                <w:rFonts w:hint="eastAsia" w:ascii="黑体" w:hAnsi="黑体" w:eastAsia="黑体"/>
                <w:sz w:val="21"/>
                <w:szCs w:val="21"/>
                <w:vertAlign w:val="baseli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06-法院事务管理</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系统综合业务管理和综合事务管理。</w:t>
            </w:r>
          </w:p>
        </w:tc>
        <w:tc>
          <w:tcPr>
            <w:tcW w:w="2950" w:type="dxa"/>
          </w:tcPr>
          <w:p>
            <w:pPr>
              <w:spacing w:line="580" w:lineRule="exact"/>
              <w:jc w:val="center"/>
              <w:outlineLvl w:val="0"/>
              <w:rPr>
                <w:rFonts w:hint="eastAsia" w:ascii="黑体" w:hAnsi="黑体" w:eastAsia="黑体"/>
                <w:sz w:val="32"/>
                <w:szCs w:val="32"/>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p>
        </w:tc>
        <w:tc>
          <w:tcPr>
            <w:tcW w:w="717" w:type="dxa"/>
          </w:tcPr>
          <w:p>
            <w:pPr>
              <w:spacing w:line="580" w:lineRule="exact"/>
              <w:jc w:val="center"/>
              <w:outlineLvl w:val="0"/>
              <w:rPr>
                <w:rFonts w:hint="eastAsia" w:ascii="黑体" w:hAnsi="黑体" w:eastAsia="黑体"/>
                <w:sz w:val="21"/>
                <w:szCs w:val="21"/>
                <w:vertAlign w:val="baseline"/>
              </w:rPr>
            </w:pPr>
          </w:p>
        </w:tc>
        <w:tc>
          <w:tcPr>
            <w:tcW w:w="733" w:type="dxa"/>
          </w:tcPr>
          <w:p>
            <w:pPr>
              <w:spacing w:line="580" w:lineRule="exact"/>
              <w:jc w:val="center"/>
              <w:outlineLvl w:val="0"/>
              <w:rPr>
                <w:rFonts w:hint="eastAsia" w:ascii="黑体" w:hAnsi="黑体" w:eastAsia="黑体"/>
                <w:sz w:val="21"/>
                <w:szCs w:val="21"/>
                <w:vertAlign w:val="baseline"/>
              </w:rPr>
            </w:pPr>
          </w:p>
        </w:tc>
        <w:tc>
          <w:tcPr>
            <w:tcW w:w="767" w:type="dxa"/>
          </w:tcPr>
          <w:p>
            <w:pPr>
              <w:spacing w:line="580" w:lineRule="exact"/>
              <w:jc w:val="center"/>
              <w:outlineLvl w:val="0"/>
              <w:rPr>
                <w:rFonts w:hint="eastAsia" w:ascii="黑体" w:hAnsi="黑体" w:eastAsia="黑体"/>
                <w:sz w:val="21"/>
                <w:szCs w:val="21"/>
                <w:vertAlign w:val="baseline"/>
              </w:rPr>
            </w:pPr>
          </w:p>
        </w:tc>
        <w:tc>
          <w:tcPr>
            <w:tcW w:w="728" w:type="dxa"/>
          </w:tcPr>
          <w:p>
            <w:pPr>
              <w:spacing w:line="580" w:lineRule="exact"/>
              <w:jc w:val="center"/>
              <w:outlineLvl w:val="0"/>
              <w:rPr>
                <w:rFonts w:hint="eastAsia" w:ascii="黑体" w:hAnsi="黑体" w:eastAsia="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0601-综合业务管理</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加强法院系统队伍建设，加强法院基础设施及信息化建设，加强培训及法院文化建设；总结人民法院审判业务工作经验，建立绩效考核制度，加强对外宣传以及舆论引导，树立法院良好形象</w:t>
            </w:r>
          </w:p>
        </w:tc>
        <w:tc>
          <w:tcPr>
            <w:tcW w:w="2950" w:type="dxa"/>
          </w:tcPr>
          <w:p>
            <w:pPr>
              <w:spacing w:line="580" w:lineRule="exact"/>
              <w:jc w:val="center"/>
              <w:outlineLvl w:val="0"/>
              <w:rPr>
                <w:rFonts w:hint="eastAsia" w:ascii="黑体" w:hAnsi="黑体" w:eastAsia="黑体"/>
                <w:sz w:val="21"/>
                <w:szCs w:val="21"/>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综合业务管理工作完成率</w:t>
            </w:r>
          </w:p>
        </w:tc>
        <w:tc>
          <w:tcPr>
            <w:tcW w:w="71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9</w:t>
            </w:r>
            <w:r>
              <w:rPr>
                <w:rFonts w:hint="eastAsia" w:ascii="黑体" w:hAnsi="黑体" w:eastAsia="黑体"/>
                <w:sz w:val="21"/>
                <w:szCs w:val="21"/>
                <w:vertAlign w:val="baseline"/>
              </w:rPr>
              <w:t>0%及以上</w:t>
            </w:r>
          </w:p>
        </w:tc>
        <w:tc>
          <w:tcPr>
            <w:tcW w:w="7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85</w:t>
            </w:r>
            <w:r>
              <w:rPr>
                <w:rFonts w:hint="eastAsia" w:ascii="黑体" w:hAnsi="黑体" w:eastAsia="黑体"/>
                <w:sz w:val="21"/>
                <w:szCs w:val="21"/>
                <w:vertAlign w:val="baseline"/>
              </w:rPr>
              <w:t>%及以上</w:t>
            </w:r>
          </w:p>
        </w:tc>
        <w:tc>
          <w:tcPr>
            <w:tcW w:w="767"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0%及以上</w:t>
            </w:r>
          </w:p>
        </w:tc>
        <w:tc>
          <w:tcPr>
            <w:tcW w:w="728" w:type="dxa"/>
          </w:tcPr>
          <w:p>
            <w:pPr>
              <w:spacing w:line="580" w:lineRule="exact"/>
              <w:jc w:val="center"/>
              <w:outlineLvl w:val="0"/>
              <w:rPr>
                <w:rFonts w:hint="eastAsia" w:ascii="黑体" w:hAnsi="黑体" w:eastAsia="黑体"/>
                <w:sz w:val="21"/>
                <w:szCs w:val="21"/>
                <w:vertAlign w:val="baseline"/>
                <w:lang w:eastAsia="zh-CN"/>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0%以</w:t>
            </w:r>
            <w:r>
              <w:rPr>
                <w:rFonts w:hint="eastAsia" w:ascii="黑体" w:hAnsi="黑体" w:eastAsia="黑体"/>
                <w:sz w:val="21"/>
                <w:szCs w:val="21"/>
                <w:vertAlign w:val="baseline"/>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83"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0602-综合事务管理</w:t>
            </w:r>
          </w:p>
        </w:tc>
        <w:tc>
          <w:tcPr>
            <w:tcW w:w="1033" w:type="dxa"/>
          </w:tcPr>
          <w:p>
            <w:pPr>
              <w:spacing w:line="580" w:lineRule="exact"/>
              <w:jc w:val="center"/>
              <w:outlineLvl w:val="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0</w:t>
            </w:r>
          </w:p>
        </w:tc>
        <w:tc>
          <w:tcPr>
            <w:tcW w:w="3234" w:type="dxa"/>
          </w:tcPr>
          <w:p>
            <w:pPr>
              <w:spacing w:line="580" w:lineRule="exact"/>
              <w:jc w:val="center"/>
              <w:outlineLvl w:val="0"/>
              <w:rPr>
                <w:rFonts w:hint="eastAsia" w:ascii="黑体" w:hAnsi="黑体" w:eastAsia="黑体" w:cs="黑体"/>
                <w:sz w:val="21"/>
                <w:szCs w:val="21"/>
                <w:vertAlign w:val="baseline"/>
              </w:rPr>
            </w:pPr>
            <w:r>
              <w:rPr>
                <w:rFonts w:hint="eastAsia" w:ascii="黑体" w:hAnsi="黑体" w:eastAsia="黑体" w:cs="黑体"/>
                <w:sz w:val="21"/>
                <w:szCs w:val="21"/>
                <w:vertAlign w:val="baseline"/>
              </w:rPr>
              <w:t>做好全区人民法院的监察工作；管理全区法院司法行政工作；承办其它应由区人民法院负责的工</w:t>
            </w:r>
          </w:p>
        </w:tc>
        <w:tc>
          <w:tcPr>
            <w:tcW w:w="2950" w:type="dxa"/>
          </w:tcPr>
          <w:p>
            <w:pPr>
              <w:spacing w:line="580" w:lineRule="exact"/>
              <w:jc w:val="center"/>
              <w:outlineLvl w:val="0"/>
              <w:rPr>
                <w:rFonts w:hint="eastAsia" w:ascii="黑体" w:hAnsi="黑体" w:eastAsia="黑体"/>
                <w:sz w:val="21"/>
                <w:szCs w:val="21"/>
                <w:vertAlign w:val="baseline"/>
              </w:rPr>
            </w:pPr>
          </w:p>
        </w:tc>
        <w:tc>
          <w:tcPr>
            <w:tcW w:w="1433" w:type="dxa"/>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rPr>
              <w:t>各项保障工作完成率</w:t>
            </w:r>
          </w:p>
        </w:tc>
        <w:tc>
          <w:tcPr>
            <w:tcW w:w="717"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9</w:t>
            </w:r>
            <w:r>
              <w:rPr>
                <w:rFonts w:hint="eastAsia" w:ascii="黑体" w:hAnsi="黑体" w:eastAsia="黑体"/>
                <w:sz w:val="21"/>
                <w:szCs w:val="21"/>
                <w:vertAlign w:val="baseline"/>
              </w:rPr>
              <w:t>0%及以上</w:t>
            </w:r>
          </w:p>
        </w:tc>
        <w:tc>
          <w:tcPr>
            <w:tcW w:w="733"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85</w:t>
            </w:r>
            <w:r>
              <w:rPr>
                <w:rFonts w:hint="eastAsia" w:ascii="黑体" w:hAnsi="黑体" w:eastAsia="黑体"/>
                <w:sz w:val="21"/>
                <w:szCs w:val="21"/>
                <w:vertAlign w:val="baseline"/>
              </w:rPr>
              <w:t>%及以上</w:t>
            </w:r>
          </w:p>
        </w:tc>
        <w:tc>
          <w:tcPr>
            <w:tcW w:w="767"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0%及以上</w:t>
            </w:r>
          </w:p>
        </w:tc>
        <w:tc>
          <w:tcPr>
            <w:tcW w:w="728" w:type="dxa"/>
            <w:vAlign w:val="top"/>
          </w:tcPr>
          <w:p>
            <w:pPr>
              <w:spacing w:line="580" w:lineRule="exact"/>
              <w:jc w:val="center"/>
              <w:outlineLvl w:val="0"/>
              <w:rPr>
                <w:rFonts w:hint="eastAsia" w:ascii="黑体" w:hAnsi="黑体" w:eastAsia="黑体"/>
                <w:sz w:val="21"/>
                <w:szCs w:val="21"/>
                <w:vertAlign w:val="baseline"/>
              </w:rPr>
            </w:pPr>
            <w:r>
              <w:rPr>
                <w:rFonts w:hint="eastAsia" w:ascii="黑体" w:hAnsi="黑体" w:eastAsia="黑体"/>
                <w:sz w:val="21"/>
                <w:szCs w:val="21"/>
                <w:vertAlign w:val="baseline"/>
                <w:lang w:val="en-US" w:eastAsia="zh-CN"/>
              </w:rPr>
              <w:t>8</w:t>
            </w:r>
            <w:r>
              <w:rPr>
                <w:rFonts w:hint="eastAsia" w:ascii="黑体" w:hAnsi="黑体" w:eastAsia="黑体"/>
                <w:sz w:val="21"/>
                <w:szCs w:val="21"/>
                <w:vertAlign w:val="baseline"/>
              </w:rPr>
              <w:t>0%以</w:t>
            </w:r>
            <w:r>
              <w:rPr>
                <w:rFonts w:hint="eastAsia" w:ascii="黑体" w:hAnsi="黑体" w:eastAsia="黑体"/>
                <w:sz w:val="21"/>
                <w:szCs w:val="21"/>
                <w:vertAlign w:val="baseline"/>
                <w:lang w:eastAsia="zh-CN"/>
              </w:rPr>
              <w:t>下</w:t>
            </w:r>
          </w:p>
        </w:tc>
      </w:tr>
    </w:tbl>
    <w:p>
      <w:pPr>
        <w:spacing w:line="580" w:lineRule="exact"/>
        <w:jc w:val="center"/>
        <w:outlineLvl w:val="0"/>
        <w:rPr>
          <w:rFonts w:hint="eastAsia" w:ascii="黑体" w:hAnsi="黑体" w:eastAsia="黑体"/>
          <w:sz w:val="32"/>
          <w:szCs w:val="32"/>
        </w:rPr>
      </w:pPr>
    </w:p>
    <w:p>
      <w:pPr>
        <w:spacing w:line="580" w:lineRule="exact"/>
        <w:jc w:val="center"/>
        <w:outlineLvl w:val="0"/>
        <w:rPr>
          <w:rFonts w:hint="eastAsia" w:ascii="黑体" w:hAnsi="黑体" w:eastAsia="黑体"/>
          <w:sz w:val="32"/>
          <w:szCs w:val="32"/>
        </w:rPr>
      </w:pPr>
    </w:p>
    <w:p>
      <w:pPr>
        <w:spacing w:line="580" w:lineRule="exact"/>
        <w:jc w:val="center"/>
        <w:outlineLvl w:val="0"/>
        <w:rPr>
          <w:rFonts w:hint="eastAsia" w:ascii="黑体" w:hAnsi="黑体" w:eastAsia="黑体"/>
          <w:sz w:val="32"/>
          <w:szCs w:val="32"/>
        </w:rPr>
      </w:pPr>
      <w:r>
        <w:rPr>
          <w:rFonts w:hint="eastAsia" w:ascii="黑体" w:hAnsi="黑体" w:eastAsia="黑体"/>
          <w:sz w:val="32"/>
          <w:szCs w:val="32"/>
        </w:rPr>
        <w:t>第六部分：政府采购预算情况</w:t>
      </w:r>
    </w:p>
    <w:p>
      <w:pPr>
        <w:spacing w:line="580" w:lineRule="exact"/>
        <w:jc w:val="center"/>
        <w:outlineLvl w:val="0"/>
        <w:rPr>
          <w:rFonts w:hint="eastAsia" w:ascii="黑体" w:hAnsi="黑体" w:eastAsia="黑体"/>
          <w:sz w:val="32"/>
          <w:szCs w:val="32"/>
        </w:rPr>
      </w:pPr>
    </w:p>
    <w:p>
      <w:pPr>
        <w:spacing w:line="580" w:lineRule="exact"/>
        <w:ind w:firstLine="640" w:firstLineChars="200"/>
        <w:jc w:val="both"/>
        <w:outlineLvl w:val="0"/>
        <w:rPr>
          <w:rFonts w:hint="eastAsia" w:ascii="仿宋" w:hAnsi="仿宋" w:eastAsia="仿宋"/>
          <w:color w:val="auto"/>
          <w:sz w:val="32"/>
          <w:szCs w:val="24"/>
          <w:lang w:val="en-US" w:eastAsia="zh-CN"/>
        </w:rPr>
      </w:pPr>
      <w:r>
        <w:rPr>
          <w:rFonts w:hint="eastAsia" w:ascii="仿宋" w:hAnsi="仿宋" w:eastAsia="仿宋"/>
          <w:color w:val="auto"/>
          <w:sz w:val="32"/>
          <w:szCs w:val="24"/>
        </w:rPr>
        <w:t>2019年，我部门</w:t>
      </w:r>
      <w:r>
        <w:rPr>
          <w:rFonts w:hint="eastAsia" w:ascii="仿宋" w:hAnsi="仿宋" w:eastAsia="仿宋"/>
          <w:color w:val="auto"/>
          <w:sz w:val="32"/>
          <w:szCs w:val="24"/>
          <w:lang w:eastAsia="zh-CN"/>
        </w:rPr>
        <w:t>无</w:t>
      </w:r>
      <w:r>
        <w:rPr>
          <w:rFonts w:hint="eastAsia" w:ascii="仿宋" w:hAnsi="仿宋" w:eastAsia="仿宋"/>
          <w:color w:val="auto"/>
          <w:sz w:val="32"/>
          <w:szCs w:val="24"/>
        </w:rPr>
        <w:t>政府采购预算</w:t>
      </w:r>
      <w:r>
        <w:rPr>
          <w:rFonts w:hint="eastAsia" w:ascii="仿宋" w:hAnsi="仿宋" w:eastAsia="仿宋"/>
          <w:color w:val="auto"/>
          <w:sz w:val="32"/>
          <w:szCs w:val="24"/>
          <w:lang w:val="en-US" w:eastAsia="zh-CN"/>
        </w:rPr>
        <w:t>。</w:t>
      </w:r>
    </w:p>
    <w:p>
      <w:pPr>
        <w:spacing w:line="580" w:lineRule="exact"/>
        <w:ind w:firstLine="640" w:firstLineChars="200"/>
        <w:jc w:val="both"/>
        <w:outlineLvl w:val="0"/>
        <w:rPr>
          <w:rFonts w:hint="eastAsia" w:ascii="仿宋" w:hAnsi="仿宋" w:eastAsia="仿宋"/>
          <w:color w:val="auto"/>
          <w:sz w:val="32"/>
          <w:szCs w:val="24"/>
          <w:lang w:val="en-US" w:eastAsia="zh-CN"/>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第七部分：国有资产信息情况说明</w:t>
      </w:r>
    </w:p>
    <w:p>
      <w:pPr>
        <w:spacing w:line="580" w:lineRule="exact"/>
        <w:jc w:val="center"/>
        <w:rPr>
          <w:rFonts w:hint="eastAsia" w:ascii="黑体" w:hAnsi="黑体" w:eastAsia="黑体"/>
          <w:sz w:val="32"/>
          <w:szCs w:val="32"/>
        </w:rPr>
      </w:pPr>
    </w:p>
    <w:p>
      <w:pPr>
        <w:spacing w:line="520" w:lineRule="exact"/>
        <w:ind w:firstLine="560" w:firstLineChars="200"/>
        <w:jc w:val="left"/>
        <w:rPr>
          <w:rFonts w:hint="default" w:ascii="仿宋" w:hAnsi="仿宋" w:eastAsia="仿宋" w:cs="仿宋_GB2312"/>
          <w:sz w:val="28"/>
          <w:szCs w:val="28"/>
          <w:lang w:val="en-US" w:eastAsia="zh-CN"/>
        </w:rPr>
      </w:pPr>
      <w:r>
        <w:rPr>
          <w:rFonts w:hint="eastAsia" w:ascii="仿宋" w:hAnsi="仿宋" w:eastAsia="仿宋" w:cs="仿宋_GB2312"/>
          <w:sz w:val="28"/>
          <w:szCs w:val="28"/>
        </w:rPr>
        <w:t>保定市清苑区人民法院201</w:t>
      </w:r>
      <w:r>
        <w:rPr>
          <w:rFonts w:hint="eastAsia" w:ascii="仿宋" w:hAnsi="仿宋" w:eastAsia="仿宋" w:cs="仿宋_GB2312"/>
          <w:sz w:val="28"/>
          <w:szCs w:val="28"/>
          <w:lang w:val="en-US" w:eastAsia="zh-CN"/>
        </w:rPr>
        <w:t>8</w:t>
      </w:r>
      <w:r>
        <w:rPr>
          <w:rFonts w:hint="eastAsia" w:ascii="仿宋" w:hAnsi="仿宋" w:eastAsia="仿宋" w:cs="仿宋_GB2312"/>
          <w:sz w:val="28"/>
          <w:szCs w:val="28"/>
        </w:rPr>
        <w:t>年末固定资产总值余</w:t>
      </w:r>
      <w:r>
        <w:rPr>
          <w:rFonts w:hint="eastAsia" w:ascii="仿宋" w:hAnsi="仿宋" w:eastAsia="仿宋" w:cs="仿宋_GB2312"/>
          <w:sz w:val="28"/>
          <w:szCs w:val="28"/>
          <w:lang w:val="en-US" w:eastAsia="zh-CN"/>
        </w:rPr>
        <w:t>1384.0762</w:t>
      </w:r>
      <w:r>
        <w:rPr>
          <w:rFonts w:hint="eastAsia" w:ascii="仿宋" w:hAnsi="仿宋" w:eastAsia="仿宋" w:cs="仿宋_GB2312"/>
          <w:sz w:val="28"/>
          <w:szCs w:val="28"/>
        </w:rPr>
        <w:t>万元（详见下表）。201</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年我部门</w:t>
      </w:r>
      <w:r>
        <w:rPr>
          <w:rFonts w:hint="eastAsia" w:ascii="仿宋" w:hAnsi="仿宋" w:eastAsia="仿宋" w:cs="仿宋_GB2312"/>
          <w:sz w:val="28"/>
          <w:szCs w:val="28"/>
          <w:lang w:val="en-US" w:eastAsia="zh-CN"/>
        </w:rPr>
        <w:t>拟</w:t>
      </w:r>
      <w:r>
        <w:rPr>
          <w:rFonts w:hint="eastAsia" w:ascii="仿宋" w:hAnsi="仿宋" w:eastAsia="仿宋" w:cs="仿宋_GB2312"/>
          <w:sz w:val="28"/>
          <w:szCs w:val="28"/>
        </w:rPr>
        <w:t>购置固定资产</w:t>
      </w:r>
      <w:r>
        <w:rPr>
          <w:rFonts w:hint="eastAsia" w:ascii="仿宋" w:hAnsi="仿宋" w:eastAsia="仿宋" w:cs="仿宋_GB2312"/>
          <w:sz w:val="28"/>
          <w:szCs w:val="28"/>
          <w:lang w:val="en-US" w:eastAsia="zh-CN"/>
        </w:rPr>
        <w:t>300万元。</w:t>
      </w:r>
      <w:r>
        <w:rPr>
          <w:rFonts w:hint="eastAsia" w:ascii="仿宋" w:hAnsi="仿宋" w:eastAsia="仿宋" w:cs="仿宋_GB2312"/>
          <w:sz w:val="28"/>
          <w:szCs w:val="28"/>
          <w:lang w:eastAsia="zh-CN"/>
        </w:rPr>
        <w:t>为上级法院要求采购的安检、访客设备、执行指挥中心升级设备、诉讼服务大厅系统、虚拟导诉系统、诉状一体机等设备。</w:t>
      </w:r>
    </w:p>
    <w:p>
      <w:pPr>
        <w:spacing w:line="520" w:lineRule="exact"/>
        <w:ind w:firstLine="640" w:firstLineChars="200"/>
        <w:jc w:val="center"/>
        <w:rPr>
          <w:rFonts w:hint="eastAsia" w:ascii="仿宋" w:hAnsi="仿宋" w:eastAsia="仿宋" w:cs="仿宋_GB2312"/>
          <w:sz w:val="32"/>
          <w:szCs w:val="32"/>
        </w:rPr>
      </w:pPr>
    </w:p>
    <w:tbl>
      <w:tblPr>
        <w:tblStyle w:val="7"/>
        <w:tblW w:w="8804" w:type="dxa"/>
        <w:jc w:val="center"/>
        <w:tblInd w:w="93"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jc w:val="center"/>
        </w:trPr>
        <w:tc>
          <w:tcPr>
            <w:tcW w:w="8804" w:type="dxa"/>
            <w:gridSpan w:val="3"/>
            <w:tcBorders>
              <w:top w:val="nil"/>
              <w:left w:val="nil"/>
              <w:bottom w:val="nil"/>
              <w:right w:val="nil"/>
            </w:tcBorders>
            <w:noWrap w:val="0"/>
            <w:vAlign w:val="center"/>
          </w:tcPr>
          <w:p>
            <w:pPr>
              <w:spacing w:line="520" w:lineRule="exact"/>
              <w:ind w:firstLine="560" w:firstLineChars="200"/>
              <w:jc w:val="center"/>
              <w:rPr>
                <w:rFonts w:ascii="仿宋" w:hAnsi="仿宋" w:eastAsia="仿宋" w:cs="仿宋_GB2312"/>
                <w:sz w:val="32"/>
                <w:szCs w:val="32"/>
              </w:rPr>
            </w:pPr>
            <w:r>
              <w:rPr>
                <w:rFonts w:hint="eastAsia" w:ascii="仿宋" w:hAnsi="仿宋" w:eastAsia="仿宋" w:cs="仿宋_GB2312"/>
                <w:sz w:val="28"/>
                <w:szCs w:val="28"/>
              </w:rPr>
              <w:t>保定市清苑区人民法院固定资产占用情况表</w:t>
            </w:r>
          </w:p>
        </w:tc>
      </w:tr>
      <w:tr>
        <w:tblPrEx>
          <w:tblLayout w:type="fixed"/>
          <w:tblCellMar>
            <w:top w:w="0" w:type="dxa"/>
            <w:left w:w="108" w:type="dxa"/>
            <w:bottom w:w="0" w:type="dxa"/>
            <w:right w:w="108" w:type="dxa"/>
          </w:tblCellMar>
        </w:tblPrEx>
        <w:trPr>
          <w:trHeight w:val="465" w:hRule="atLeast"/>
          <w:jc w:val="center"/>
        </w:trPr>
        <w:tc>
          <w:tcPr>
            <w:tcW w:w="8804" w:type="dxa"/>
            <w:gridSpan w:val="3"/>
            <w:tcBorders>
              <w:top w:val="nil"/>
              <w:left w:val="nil"/>
              <w:bottom w:val="single" w:color="auto" w:sz="4" w:space="0"/>
              <w:right w:val="nil"/>
            </w:tcBorders>
            <w:noWrap w:val="0"/>
            <w:vAlign w:val="center"/>
          </w:tcPr>
          <w:p>
            <w:pPr>
              <w:spacing w:line="520" w:lineRule="exact"/>
              <w:ind w:firstLine="560" w:firstLineChars="200"/>
              <w:jc w:val="center"/>
              <w:rPr>
                <w:rFonts w:hint="eastAsia" w:ascii="仿宋" w:hAnsi="仿宋" w:eastAsia="仿宋" w:cs="仿宋_GB2312"/>
                <w:sz w:val="28"/>
                <w:szCs w:val="28"/>
              </w:rPr>
            </w:pPr>
            <w:r>
              <w:rPr>
                <w:rFonts w:hint="eastAsia" w:ascii="仿宋" w:hAnsi="仿宋" w:eastAsia="仿宋" w:cs="仿宋_GB2312"/>
                <w:sz w:val="28"/>
                <w:szCs w:val="28"/>
                <w:lang w:val="en-US" w:eastAsia="zh-CN"/>
              </w:rPr>
              <w:t xml:space="preserve">                                     </w:t>
            </w:r>
            <w:r>
              <w:rPr>
                <w:rFonts w:hint="eastAsia" w:ascii="仿宋" w:hAnsi="仿宋" w:eastAsia="仿宋" w:cs="仿宋_GB2312"/>
                <w:sz w:val="21"/>
                <w:szCs w:val="21"/>
              </w:rPr>
              <w:t>截止时间：201</w:t>
            </w:r>
            <w:r>
              <w:rPr>
                <w:rFonts w:hint="eastAsia" w:ascii="仿宋" w:hAnsi="仿宋" w:eastAsia="仿宋" w:cs="仿宋_GB2312"/>
                <w:sz w:val="21"/>
                <w:szCs w:val="21"/>
                <w:lang w:val="en-US" w:eastAsia="zh-CN"/>
              </w:rPr>
              <w:t>8</w:t>
            </w:r>
            <w:r>
              <w:rPr>
                <w:rFonts w:hint="eastAsia" w:ascii="仿宋" w:hAnsi="仿宋" w:eastAsia="仿宋" w:cs="仿宋_GB2312"/>
                <w:sz w:val="21"/>
                <w:szCs w:val="21"/>
              </w:rPr>
              <w:t>年12月31日</w:t>
            </w:r>
          </w:p>
        </w:tc>
      </w:tr>
      <w:tr>
        <w:tblPrEx>
          <w:tblLayout w:type="fixed"/>
          <w:tblCellMar>
            <w:top w:w="0" w:type="dxa"/>
            <w:left w:w="108" w:type="dxa"/>
            <w:bottom w:w="0" w:type="dxa"/>
            <w:right w:w="108" w:type="dxa"/>
          </w:tblCellMar>
        </w:tblPrEx>
        <w:trPr>
          <w:trHeight w:val="750" w:hRule="atLeast"/>
          <w:jc w:val="center"/>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Layout w:type="fixed"/>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1183.1344</w:t>
            </w:r>
          </w:p>
        </w:tc>
      </w:tr>
      <w:tr>
        <w:tblPrEx>
          <w:tblLayout w:type="fixed"/>
          <w:tblCellMar>
            <w:top w:w="0" w:type="dxa"/>
            <w:left w:w="108" w:type="dxa"/>
            <w:bottom w:w="0" w:type="dxa"/>
            <w:right w:w="108" w:type="dxa"/>
          </w:tblCellMar>
        </w:tblPrEx>
        <w:trPr>
          <w:trHeight w:val="483" w:hRule="atLeast"/>
          <w:jc w:val="center"/>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1、房屋（平方米）</w:t>
            </w:r>
          </w:p>
        </w:tc>
        <w:tc>
          <w:tcPr>
            <w:tcW w:w="159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3,570.00</w:t>
            </w:r>
          </w:p>
        </w:tc>
        <w:tc>
          <w:tcPr>
            <w:tcW w:w="340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594.8635</w:t>
            </w:r>
          </w:p>
        </w:tc>
      </w:tr>
      <w:tr>
        <w:tblPrEx>
          <w:tblLayout w:type="fixed"/>
          <w:tblCellMar>
            <w:top w:w="0" w:type="dxa"/>
            <w:left w:w="108" w:type="dxa"/>
            <w:bottom w:w="0" w:type="dxa"/>
            <w:right w:w="108" w:type="dxa"/>
          </w:tblCellMar>
        </w:tblPrEx>
        <w:trPr>
          <w:trHeight w:val="419" w:hRule="atLeast"/>
          <w:jc w:val="center"/>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2,800.00</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559.1255</w:t>
            </w:r>
          </w:p>
        </w:tc>
      </w:tr>
      <w:tr>
        <w:tblPrEx>
          <w:tblLayout w:type="fixed"/>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2、车辆（台、辆）</w:t>
            </w:r>
          </w:p>
        </w:tc>
        <w:tc>
          <w:tcPr>
            <w:tcW w:w="159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sz w:val="22"/>
              </w:rPr>
            </w:pPr>
            <w:r>
              <w:rPr>
                <w:rFonts w:hint="eastAsia" w:ascii="仿宋" w:hAnsi="仿宋" w:eastAsia="仿宋" w:cs="宋体"/>
                <w:color w:val="000000"/>
                <w:kern w:val="0"/>
                <w:sz w:val="22"/>
                <w:lang w:bidi="ar"/>
              </w:rPr>
              <w:t>28</w:t>
            </w:r>
          </w:p>
        </w:tc>
        <w:tc>
          <w:tcPr>
            <w:tcW w:w="340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sz w:val="22"/>
                <w:lang w:val="en-US" w:eastAsia="zh-CN"/>
              </w:rPr>
            </w:pPr>
            <w:r>
              <w:rPr>
                <w:rFonts w:hint="eastAsia" w:ascii="仿宋" w:hAnsi="仿宋" w:eastAsia="仿宋" w:cs="宋体"/>
                <w:color w:val="000000"/>
                <w:kern w:val="0"/>
                <w:sz w:val="22"/>
                <w:lang w:val="en-US" w:eastAsia="zh-CN" w:bidi="ar"/>
              </w:rPr>
              <w:t>230.9292</w:t>
            </w:r>
          </w:p>
        </w:tc>
      </w:tr>
      <w:tr>
        <w:tblPrEx>
          <w:tblLayout w:type="fixed"/>
          <w:tblCellMar>
            <w:top w:w="0" w:type="dxa"/>
            <w:left w:w="108" w:type="dxa"/>
            <w:bottom w:w="0" w:type="dxa"/>
            <w:right w:w="108" w:type="dxa"/>
          </w:tblCellMar>
        </w:tblPrEx>
        <w:trPr>
          <w:trHeight w:val="611" w:hRule="atLeast"/>
          <w:jc w:val="center"/>
        </w:trPr>
        <w:tc>
          <w:tcPr>
            <w:tcW w:w="381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3、单价在20万元以上的设备</w:t>
            </w:r>
          </w:p>
        </w:tc>
        <w:tc>
          <w:tcPr>
            <w:tcW w:w="15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0.00</w:t>
            </w:r>
          </w:p>
        </w:tc>
      </w:tr>
      <w:tr>
        <w:tblPrEx>
          <w:tblLayout w:type="fixed"/>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4、其他固定资产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558.2835</w:t>
            </w:r>
          </w:p>
        </w:tc>
      </w:tr>
    </w:tbl>
    <w:p>
      <w:pPr>
        <w:spacing w:line="580" w:lineRule="exact"/>
        <w:jc w:val="center"/>
        <w:rPr>
          <w:rFonts w:hint="eastAsia" w:ascii="黑体" w:hAnsi="黑体" w:eastAsia="黑体"/>
          <w:sz w:val="32"/>
          <w:szCs w:val="32"/>
        </w:rPr>
      </w:pPr>
    </w:p>
    <w:p>
      <w:pPr>
        <w:widowControl/>
        <w:jc w:val="left"/>
        <w:textAlignment w:val="center"/>
        <w:rPr>
          <w:rFonts w:hint="eastAsia" w:ascii="仿宋" w:hAnsi="仿宋" w:eastAsia="仿宋" w:cs="仿宋_GB2312"/>
          <w:sz w:val="32"/>
          <w:szCs w:val="32"/>
        </w:rPr>
      </w:pPr>
    </w:p>
    <w:p>
      <w:pPr>
        <w:spacing w:line="580" w:lineRule="exact"/>
        <w:jc w:val="center"/>
        <w:rPr>
          <w:rFonts w:hint="eastAsia" w:ascii="黑体" w:hAnsi="黑体" w:eastAsia="黑体"/>
          <w:sz w:val="32"/>
          <w:szCs w:val="32"/>
        </w:rPr>
      </w:pPr>
    </w:p>
    <w:p>
      <w:pPr>
        <w:spacing w:line="580" w:lineRule="exact"/>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1、财政拨款收入：指市级财政当年拨付的资金。</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2、事业收入：指事业单位开展专业业务活动及辅助活动所取得的收入。　　　　　　</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3、其他收入：指除上述“财政拨款收入”、“事业收入”等以外的收入。</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4、基本支出：指为保障机构正常运转、完成日常工作任务而发生的人员支出和公用支出。</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5、项目支出：指在基本支出之外为完成特定行政任务和事业发展目标所发生的支出。</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6、“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7、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8、公务费：包括办公费、水电费、邮电费、取暖费、交通费、一般会议费和物业管理费之和。</w:t>
      </w:r>
    </w:p>
    <w:p>
      <w:pPr>
        <w:spacing w:line="580" w:lineRule="exact"/>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pacing w:line="580" w:lineRule="exact"/>
        <w:ind w:firstLine="420" w:firstLineChars="200"/>
        <w:jc w:val="left"/>
        <w:outlineLvl w:val="0"/>
        <w:rPr>
          <w:rFonts w:hint="eastAsia" w:ascii="仿宋" w:hAnsi="仿宋" w:eastAsia="仿宋"/>
          <w:sz w:val="32"/>
          <w:szCs w:val="24"/>
          <w:lang w:val="en-US" w:eastAsia="zh-CN"/>
        </w:rPr>
      </w:pPr>
      <w:r>
        <w:rPr>
          <w:rFonts w:hint="eastAsia" w:ascii="仿宋" w:hAnsi="仿宋" w:eastAsia="仿宋"/>
        </w:rPr>
        <w:t xml:space="preserve">   </w:t>
      </w:r>
      <w:r>
        <w:rPr>
          <w:rFonts w:hint="eastAsia" w:ascii="仿宋" w:hAnsi="仿宋" w:eastAsia="仿宋"/>
          <w:sz w:val="32"/>
          <w:szCs w:val="24"/>
        </w:rPr>
        <w:t>无其他需说明的</w:t>
      </w:r>
      <w:r>
        <w:rPr>
          <w:rFonts w:hint="eastAsia" w:ascii="仿宋" w:hAnsi="仿宋" w:eastAsia="仿宋"/>
          <w:sz w:val="32"/>
          <w:szCs w:val="24"/>
          <w:lang w:val="en-US" w:eastAsia="zh-CN"/>
        </w:rPr>
        <w:t>事项。</w:t>
      </w:r>
    </w:p>
    <w:sectPr>
      <w:pgSz w:w="16838" w:h="11906" w:orient="landscape"/>
      <w:pgMar w:top="1587" w:right="2098" w:bottom="1474" w:left="1984" w:header="1247" w:footer="1417"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jc w:val="right"/>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31</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ind w:left="210" w:leftChars="100" w:right="210" w:rightChars="100"/>
                      <w:jc w:val="right"/>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31</w:t>
                    </w:r>
                    <w:r>
                      <w:rPr>
                        <w:rFonts w:ascii="宋体" w:hAnsi="宋体"/>
                        <w:sz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ind w:left="210" w:leftChars="100" w:right="210" w:rightChars="100"/>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7717F"/>
    <w:multiLevelType w:val="singleLevel"/>
    <w:tmpl w:val="3B8771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02"/>
    <w:rsid w:val="00001620"/>
    <w:rsid w:val="00003F29"/>
    <w:rsid w:val="000069AE"/>
    <w:rsid w:val="00020933"/>
    <w:rsid w:val="00025176"/>
    <w:rsid w:val="00030509"/>
    <w:rsid w:val="0007646F"/>
    <w:rsid w:val="00082FF6"/>
    <w:rsid w:val="00083257"/>
    <w:rsid w:val="00083B13"/>
    <w:rsid w:val="000849DA"/>
    <w:rsid w:val="00085995"/>
    <w:rsid w:val="0009535F"/>
    <w:rsid w:val="000A431B"/>
    <w:rsid w:val="000B3CBB"/>
    <w:rsid w:val="000B46CA"/>
    <w:rsid w:val="000F4FBD"/>
    <w:rsid w:val="000F7A56"/>
    <w:rsid w:val="000F7B32"/>
    <w:rsid w:val="00106F29"/>
    <w:rsid w:val="001134A8"/>
    <w:rsid w:val="00123C7A"/>
    <w:rsid w:val="00143F45"/>
    <w:rsid w:val="00152B0F"/>
    <w:rsid w:val="00152B72"/>
    <w:rsid w:val="00162DFA"/>
    <w:rsid w:val="0018238D"/>
    <w:rsid w:val="00185F02"/>
    <w:rsid w:val="001B7159"/>
    <w:rsid w:val="001C59BD"/>
    <w:rsid w:val="001F6F6B"/>
    <w:rsid w:val="00207A39"/>
    <w:rsid w:val="00214E57"/>
    <w:rsid w:val="00217054"/>
    <w:rsid w:val="002238F3"/>
    <w:rsid w:val="00227BE9"/>
    <w:rsid w:val="00273E92"/>
    <w:rsid w:val="00297CC5"/>
    <w:rsid w:val="002B2A5D"/>
    <w:rsid w:val="002C63C8"/>
    <w:rsid w:val="002C7965"/>
    <w:rsid w:val="002E25C3"/>
    <w:rsid w:val="0030065B"/>
    <w:rsid w:val="00314105"/>
    <w:rsid w:val="003164FE"/>
    <w:rsid w:val="00317E32"/>
    <w:rsid w:val="003747CD"/>
    <w:rsid w:val="003B2EC4"/>
    <w:rsid w:val="003C42E1"/>
    <w:rsid w:val="003D30A5"/>
    <w:rsid w:val="003D5F98"/>
    <w:rsid w:val="003E5777"/>
    <w:rsid w:val="00405FF7"/>
    <w:rsid w:val="00407D43"/>
    <w:rsid w:val="00430A8E"/>
    <w:rsid w:val="00440931"/>
    <w:rsid w:val="00445A39"/>
    <w:rsid w:val="004466DF"/>
    <w:rsid w:val="004602FD"/>
    <w:rsid w:val="00462E70"/>
    <w:rsid w:val="004705DC"/>
    <w:rsid w:val="004B5196"/>
    <w:rsid w:val="004C780A"/>
    <w:rsid w:val="004F72E0"/>
    <w:rsid w:val="00541807"/>
    <w:rsid w:val="0055382F"/>
    <w:rsid w:val="00557368"/>
    <w:rsid w:val="0056585D"/>
    <w:rsid w:val="00574CC8"/>
    <w:rsid w:val="00577F05"/>
    <w:rsid w:val="00582AC9"/>
    <w:rsid w:val="005C348E"/>
    <w:rsid w:val="005D11E7"/>
    <w:rsid w:val="005D3A0F"/>
    <w:rsid w:val="005E002E"/>
    <w:rsid w:val="005E1AFE"/>
    <w:rsid w:val="005E53ED"/>
    <w:rsid w:val="005F303A"/>
    <w:rsid w:val="005F4689"/>
    <w:rsid w:val="005F476A"/>
    <w:rsid w:val="0060726B"/>
    <w:rsid w:val="00631012"/>
    <w:rsid w:val="00640AF1"/>
    <w:rsid w:val="00645F4F"/>
    <w:rsid w:val="006703AD"/>
    <w:rsid w:val="006767D0"/>
    <w:rsid w:val="00683565"/>
    <w:rsid w:val="006D507C"/>
    <w:rsid w:val="006F40D7"/>
    <w:rsid w:val="0070456E"/>
    <w:rsid w:val="00720F70"/>
    <w:rsid w:val="00725E65"/>
    <w:rsid w:val="0074201A"/>
    <w:rsid w:val="007503E7"/>
    <w:rsid w:val="00751EE3"/>
    <w:rsid w:val="00774593"/>
    <w:rsid w:val="00776657"/>
    <w:rsid w:val="00783241"/>
    <w:rsid w:val="00790753"/>
    <w:rsid w:val="0079152D"/>
    <w:rsid w:val="00794E6B"/>
    <w:rsid w:val="007B6CC4"/>
    <w:rsid w:val="007F15AA"/>
    <w:rsid w:val="0080634E"/>
    <w:rsid w:val="00836C94"/>
    <w:rsid w:val="008557C8"/>
    <w:rsid w:val="00862C36"/>
    <w:rsid w:val="00882F52"/>
    <w:rsid w:val="00886C88"/>
    <w:rsid w:val="008B3A7A"/>
    <w:rsid w:val="008B6603"/>
    <w:rsid w:val="008C3865"/>
    <w:rsid w:val="008F14A4"/>
    <w:rsid w:val="008F7F64"/>
    <w:rsid w:val="0090409E"/>
    <w:rsid w:val="009145B9"/>
    <w:rsid w:val="00921060"/>
    <w:rsid w:val="009268AD"/>
    <w:rsid w:val="00926ACE"/>
    <w:rsid w:val="00933B9F"/>
    <w:rsid w:val="00933FA0"/>
    <w:rsid w:val="0093583A"/>
    <w:rsid w:val="00941097"/>
    <w:rsid w:val="0094497C"/>
    <w:rsid w:val="009530B9"/>
    <w:rsid w:val="0095681E"/>
    <w:rsid w:val="00967C7B"/>
    <w:rsid w:val="00981677"/>
    <w:rsid w:val="009920F2"/>
    <w:rsid w:val="009B2725"/>
    <w:rsid w:val="009B5738"/>
    <w:rsid w:val="009B7EEF"/>
    <w:rsid w:val="009C55C6"/>
    <w:rsid w:val="009D70CA"/>
    <w:rsid w:val="009E17D1"/>
    <w:rsid w:val="00A3491E"/>
    <w:rsid w:val="00A41989"/>
    <w:rsid w:val="00A60320"/>
    <w:rsid w:val="00A606B8"/>
    <w:rsid w:val="00AB0531"/>
    <w:rsid w:val="00AB2B66"/>
    <w:rsid w:val="00AD42DE"/>
    <w:rsid w:val="00AE3053"/>
    <w:rsid w:val="00B05DE7"/>
    <w:rsid w:val="00B17786"/>
    <w:rsid w:val="00B204B9"/>
    <w:rsid w:val="00B24266"/>
    <w:rsid w:val="00B31CD6"/>
    <w:rsid w:val="00B45605"/>
    <w:rsid w:val="00B72F86"/>
    <w:rsid w:val="00B81DB1"/>
    <w:rsid w:val="00B929D9"/>
    <w:rsid w:val="00BA2A5D"/>
    <w:rsid w:val="00BA2E5B"/>
    <w:rsid w:val="00BE662F"/>
    <w:rsid w:val="00C03387"/>
    <w:rsid w:val="00C125D7"/>
    <w:rsid w:val="00C2489C"/>
    <w:rsid w:val="00C25440"/>
    <w:rsid w:val="00C43C08"/>
    <w:rsid w:val="00C461C8"/>
    <w:rsid w:val="00C53AAC"/>
    <w:rsid w:val="00C60F72"/>
    <w:rsid w:val="00C83D00"/>
    <w:rsid w:val="00C91CE3"/>
    <w:rsid w:val="00CA59C7"/>
    <w:rsid w:val="00CB21AF"/>
    <w:rsid w:val="00CD3C65"/>
    <w:rsid w:val="00D70A0C"/>
    <w:rsid w:val="00D74A2E"/>
    <w:rsid w:val="00D751A5"/>
    <w:rsid w:val="00D802E5"/>
    <w:rsid w:val="00D8310D"/>
    <w:rsid w:val="00D92343"/>
    <w:rsid w:val="00DA4A43"/>
    <w:rsid w:val="00DB4EDD"/>
    <w:rsid w:val="00DB6B97"/>
    <w:rsid w:val="00DD604D"/>
    <w:rsid w:val="00DF5589"/>
    <w:rsid w:val="00E235BB"/>
    <w:rsid w:val="00E272C6"/>
    <w:rsid w:val="00E27C05"/>
    <w:rsid w:val="00E303F0"/>
    <w:rsid w:val="00E62414"/>
    <w:rsid w:val="00E941EB"/>
    <w:rsid w:val="00EE3253"/>
    <w:rsid w:val="00EE3EBF"/>
    <w:rsid w:val="00EF64B9"/>
    <w:rsid w:val="00F308CD"/>
    <w:rsid w:val="00F603BC"/>
    <w:rsid w:val="00F7112F"/>
    <w:rsid w:val="00FB3DBA"/>
    <w:rsid w:val="00FE1743"/>
    <w:rsid w:val="00FF3BB9"/>
    <w:rsid w:val="00FF4F43"/>
    <w:rsid w:val="044C4714"/>
    <w:rsid w:val="065956D5"/>
    <w:rsid w:val="12D84ABD"/>
    <w:rsid w:val="1609027B"/>
    <w:rsid w:val="22C82B9F"/>
    <w:rsid w:val="2C1319FF"/>
    <w:rsid w:val="2FC84902"/>
    <w:rsid w:val="316B0BD2"/>
    <w:rsid w:val="37850000"/>
    <w:rsid w:val="38FD0A4A"/>
    <w:rsid w:val="39F01FC0"/>
    <w:rsid w:val="40272FE5"/>
    <w:rsid w:val="461B158F"/>
    <w:rsid w:val="48D206A6"/>
    <w:rsid w:val="4FF86ADA"/>
    <w:rsid w:val="54B405A8"/>
    <w:rsid w:val="54FC4AC0"/>
    <w:rsid w:val="58373D4E"/>
    <w:rsid w:val="67E050A0"/>
    <w:rsid w:val="68C55418"/>
    <w:rsid w:val="698A047A"/>
    <w:rsid w:val="6D903E92"/>
    <w:rsid w:val="7A7651C8"/>
    <w:rsid w:val="7BEE0592"/>
    <w:rsid w:val="7CA84712"/>
    <w:rsid w:val="7DD10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3"/>
    <w:semiHidden/>
    <w:qFormat/>
    <w:uiPriority w:val="99"/>
    <w:rPr>
      <w:szCs w:val="22"/>
    </w:rPr>
  </w:style>
  <w:style w:type="paragraph" w:customStyle="1" w:styleId="13">
    <w:name w:val="楷体标注"/>
    <w:basedOn w:val="1"/>
    <w:link w:val="14"/>
    <w:qFormat/>
    <w:uiPriority w:val="0"/>
    <w:pPr>
      <w:ind w:firstLine="640" w:firstLineChars="200"/>
    </w:pPr>
    <w:rPr>
      <w:rFonts w:ascii="楷体" w:hAnsi="楷体" w:eastAsia="楷体"/>
      <w:sz w:val="32"/>
      <w:szCs w:val="21"/>
    </w:rPr>
  </w:style>
  <w:style w:type="character" w:customStyle="1" w:styleId="14">
    <w:name w:val="楷体标注 Char"/>
    <w:basedOn w:val="9"/>
    <w:link w:val="13"/>
    <w:qFormat/>
    <w:uiPriority w:val="0"/>
    <w:rPr>
      <w:rFonts w:ascii="楷体" w:hAnsi="楷体" w:eastAsia="楷体"/>
      <w:sz w:val="32"/>
    </w:rPr>
  </w:style>
  <w:style w:type="paragraph" w:customStyle="1" w:styleId="15">
    <w:name w:val="黑体标注"/>
    <w:basedOn w:val="1"/>
    <w:link w:val="16"/>
    <w:qFormat/>
    <w:uiPriority w:val="0"/>
    <w:pPr>
      <w:ind w:firstLine="640" w:firstLineChars="200"/>
    </w:pPr>
    <w:rPr>
      <w:rFonts w:ascii="黑体" w:hAnsi="黑体" w:eastAsia="黑体"/>
      <w:sz w:val="32"/>
      <w:szCs w:val="21"/>
    </w:rPr>
  </w:style>
  <w:style w:type="character" w:customStyle="1" w:styleId="16">
    <w:name w:val="黑体标注 Char"/>
    <w:basedOn w:val="9"/>
    <w:link w:val="15"/>
    <w:qFormat/>
    <w:uiPriority w:val="0"/>
    <w:rPr>
      <w:rFonts w:ascii="黑体" w:hAnsi="黑体" w:eastAsia="黑体"/>
      <w:sz w:val="3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9C82C-4BA7-4066-BDAE-0A0B91A234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2418</Words>
  <Characters>13783</Characters>
  <Lines>114</Lines>
  <Paragraphs>32</Paragraphs>
  <TotalTime>9</TotalTime>
  <ScaleCrop>false</ScaleCrop>
  <LinksUpToDate>false</LinksUpToDate>
  <CharactersWithSpaces>16169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2018-07-13T08:09:00Z</dcterms:created>
  <dc:creator>lenovo</dc:creator>
  <cp:lastModifiedBy>赵苑</cp:lastModifiedBy>
  <dcterms:modified xsi:type="dcterms:W3CDTF">2019-03-14T08:23:06Z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