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ascii="宋体" w:hAnsi="宋体"/>
          <w:sz w:val="44"/>
          <w:szCs w:val="44"/>
        </w:rPr>
      </w:pPr>
    </w:p>
    <w:p>
      <w:pPr>
        <w:widowControl/>
        <w:spacing w:line="580" w:lineRule="exact"/>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保定市清苑区人民法院</w:t>
      </w:r>
    </w:p>
    <w:p>
      <w:pPr>
        <w:widowControl/>
        <w:spacing w:line="580" w:lineRule="exact"/>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2020年预算信息公开</w:t>
      </w:r>
    </w:p>
    <w:p>
      <w:pPr>
        <w:spacing w:line="580" w:lineRule="exact"/>
        <w:rPr>
          <w:rFonts w:ascii="仿宋_GB2312" w:eastAsia="仿宋_GB2312"/>
          <w:sz w:val="28"/>
        </w:rPr>
      </w:pPr>
    </w:p>
    <w:p>
      <w:pPr>
        <w:spacing w:line="580" w:lineRule="exact"/>
        <w:ind w:firstLine="720" w:firstLineChars="225"/>
        <w:rPr>
          <w:rFonts w:ascii="仿宋" w:hAnsi="仿宋" w:eastAsia="仿宋"/>
          <w:sz w:val="32"/>
          <w:szCs w:val="32"/>
        </w:rPr>
      </w:pPr>
      <w:r>
        <w:rPr>
          <w:rFonts w:hint="eastAsia" w:ascii="仿宋" w:hAnsi="仿宋" w:eastAsia="仿宋"/>
          <w:sz w:val="32"/>
          <w:szCs w:val="32"/>
        </w:rPr>
        <w:t>按照《预算法》、《地方预决算公开操作规程》等文件规定，现将保定市清苑区人民法院2020年部门预算公开如下：</w:t>
      </w:r>
    </w:p>
    <w:p>
      <w:pPr>
        <w:spacing w:line="580" w:lineRule="exact"/>
        <w:ind w:firstLine="640" w:firstLineChars="200"/>
        <w:jc w:val="center"/>
        <w:rPr>
          <w:rFonts w:ascii="黑体" w:hAnsi="黑体" w:eastAsia="黑体"/>
          <w:sz w:val="32"/>
          <w:szCs w:val="32"/>
        </w:rPr>
      </w:pPr>
      <w:r>
        <w:rPr>
          <w:rFonts w:hint="eastAsia" w:ascii="黑体" w:hAnsi="黑体" w:eastAsia="黑体"/>
          <w:sz w:val="32"/>
          <w:szCs w:val="32"/>
        </w:rPr>
        <w:t>第一部分:部门职责及机构设置情况</w:t>
      </w:r>
    </w:p>
    <w:p>
      <w:pPr>
        <w:spacing w:line="580" w:lineRule="exact"/>
        <w:ind w:firstLine="640" w:firstLineChars="200"/>
        <w:jc w:val="center"/>
        <w:rPr>
          <w:rFonts w:ascii="黑体" w:hAnsi="黑体" w:eastAsia="黑体"/>
          <w:sz w:val="32"/>
          <w:szCs w:val="32"/>
        </w:rPr>
      </w:pP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黑体" w:hAnsi="黑体" w:eastAsia="黑体"/>
          <w:sz w:val="32"/>
          <w:szCs w:val="32"/>
        </w:rPr>
      </w:pPr>
      <w:r>
        <w:rPr>
          <w:rFonts w:hint="eastAsia" w:ascii="黑体" w:hAnsi="黑体" w:eastAsia="黑体"/>
          <w:sz w:val="32"/>
          <w:szCs w:val="32"/>
        </w:rPr>
        <w:t>部门</w:t>
      </w:r>
      <w:r>
        <w:rPr>
          <w:rFonts w:ascii="黑体" w:hAnsi="黑体" w:eastAsia="黑体"/>
          <w:sz w:val="32"/>
          <w:szCs w:val="32"/>
        </w:rPr>
        <w:t>职责：</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根据中共清苑县委办公室《关于印发清苑县人民法院职能配置、内设机构和人员编制规定的通知》（清办字[2002]48号），现将我院部门概况说明如下：</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（一）依法审判法律规定的由本院管辖的刑事、民事、行政等第一审案件。</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（二）依法审判刑事、民事、行政等按照审判监督程序提起的再审案件和二审法院发还重审的案件。</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（三）依法办理发生法律效力的刑事、民事、行政的执行事项；办理法律规定由法院执行的其他法律文书的执行事项。</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（四）依法行使司法决定权</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（五）针对案件审理中发现的问题提出司法建设意见。</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（六）负责审判工作的调查研究，总结审判工作经验，工作中就适用法律、政策问题进行请示，负责全院的司法统计工作。</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（七）对本院的法官和其他工作人员进行思想政治教育，组织专业培训；协助主管部门管理机构编制工作，按照权限管理法官和其他工作人员。</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（八）管理人民法院的有关经费和物资装备</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（九）负责人民法院的司法技术鉴定工作</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（十）在审判工作中，宣传法制，指导民调工作，教育公民忠于社会主义祖国，自觉遵守宪法、法律、和社会公德。</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（十一）承办其他应由基层人民法院负责的工作。</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仿宋" w:hAnsi="仿宋" w:eastAsia="仿宋" w:cs="仿宋_GB2312"/>
          <w:sz w:val="32"/>
          <w:szCs w:val="32"/>
        </w:rPr>
      </w:pPr>
    </w:p>
    <w:p>
      <w:pPr>
        <w:autoSpaceDE w:val="0"/>
        <w:autoSpaceDN w:val="0"/>
        <w:adjustRightIn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二、机构设置：</w:t>
      </w:r>
    </w:p>
    <w:p>
      <w:pPr>
        <w:autoSpaceDE w:val="0"/>
        <w:autoSpaceDN w:val="0"/>
        <w:adjustRightInd w:val="0"/>
        <w:spacing w:line="580" w:lineRule="exact"/>
        <w:ind w:firstLine="640" w:firstLineChars="200"/>
        <w:jc w:val="left"/>
        <w:rPr>
          <w:rFonts w:ascii="黑体" w:hAnsi="黑体" w:eastAsia="黑体"/>
          <w:sz w:val="32"/>
          <w:szCs w:val="32"/>
        </w:rPr>
      </w:pPr>
    </w:p>
    <w:tbl>
      <w:tblPr>
        <w:tblStyle w:val="8"/>
        <w:tblW w:w="10083" w:type="dxa"/>
        <w:jc w:val="center"/>
        <w:tblInd w:w="0" w:type="dxa"/>
        <w:tblLayout w:type="fixed"/>
        <w:tblCellMar>
          <w:top w:w="0" w:type="dxa"/>
          <w:left w:w="108" w:type="dxa"/>
          <w:bottom w:w="0" w:type="dxa"/>
          <w:right w:w="108" w:type="dxa"/>
        </w:tblCellMar>
      </w:tblPr>
      <w:tblGrid>
        <w:gridCol w:w="783"/>
        <w:gridCol w:w="2717"/>
        <w:gridCol w:w="2182"/>
        <w:gridCol w:w="1761"/>
        <w:gridCol w:w="2640"/>
      </w:tblGrid>
      <w:tr>
        <w:tblPrEx>
          <w:tblLayout w:type="fixed"/>
          <w:tblCellMar>
            <w:top w:w="0" w:type="dxa"/>
            <w:left w:w="108" w:type="dxa"/>
            <w:bottom w:w="0" w:type="dxa"/>
            <w:right w:w="108" w:type="dxa"/>
          </w:tblCellMar>
        </w:tblPrEx>
        <w:trPr>
          <w:trHeight w:val="810" w:hRule="atLeast"/>
          <w:jc w:val="center"/>
        </w:trPr>
        <w:tc>
          <w:tcPr>
            <w:tcW w:w="10083" w:type="dxa"/>
            <w:gridSpan w:val="5"/>
            <w:tcBorders>
              <w:top w:val="nil"/>
              <w:left w:val="nil"/>
              <w:bottom w:val="single" w:color="auto" w:sz="4" w:space="0"/>
              <w:right w:val="nil"/>
            </w:tcBorders>
            <w:vAlign w:val="center"/>
          </w:tcPr>
          <w:p>
            <w:pPr>
              <w:spacing w:line="520" w:lineRule="exact"/>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部门机构设置情况</w:t>
            </w:r>
          </w:p>
        </w:tc>
      </w:tr>
      <w:tr>
        <w:tblPrEx>
          <w:tblLayout w:type="fixed"/>
          <w:tblCellMar>
            <w:top w:w="0" w:type="dxa"/>
            <w:left w:w="108" w:type="dxa"/>
            <w:bottom w:w="0" w:type="dxa"/>
            <w:right w:w="108" w:type="dxa"/>
          </w:tblCellMar>
        </w:tblPrEx>
        <w:trPr>
          <w:trHeight w:val="720" w:hRule="atLeast"/>
          <w:jc w:val="center"/>
        </w:trPr>
        <w:tc>
          <w:tcPr>
            <w:tcW w:w="783" w:type="dxa"/>
            <w:vMerge w:val="restart"/>
            <w:tcBorders>
              <w:top w:val="nil"/>
              <w:left w:val="single" w:color="auto" w:sz="4" w:space="0"/>
              <w:bottom w:val="single" w:color="000000" w:sz="4" w:space="0"/>
              <w:right w:val="single" w:color="auto" w:sz="4" w:space="0"/>
            </w:tcBorders>
            <w:vAlign w:val="center"/>
          </w:tcPr>
          <w:p>
            <w:pPr>
              <w:spacing w:line="520" w:lineRule="exact"/>
              <w:jc w:val="left"/>
              <w:rPr>
                <w:rFonts w:ascii="仿宋" w:hAnsi="仿宋" w:eastAsia="仿宋" w:cs="仿宋_GB2312"/>
                <w:sz w:val="28"/>
                <w:szCs w:val="28"/>
              </w:rPr>
            </w:pPr>
            <w:r>
              <w:rPr>
                <w:rFonts w:hint="eastAsia" w:ascii="仿宋" w:hAnsi="仿宋" w:eastAsia="仿宋" w:cs="仿宋_GB2312"/>
                <w:sz w:val="28"/>
                <w:szCs w:val="28"/>
              </w:rPr>
              <w:t>序号</w:t>
            </w:r>
          </w:p>
        </w:tc>
        <w:tc>
          <w:tcPr>
            <w:tcW w:w="2717" w:type="dxa"/>
            <w:vMerge w:val="restart"/>
            <w:tcBorders>
              <w:top w:val="nil"/>
              <w:left w:val="single" w:color="auto" w:sz="4" w:space="0"/>
              <w:bottom w:val="single" w:color="000000" w:sz="4" w:space="0"/>
              <w:right w:val="single" w:color="auto" w:sz="4" w:space="0"/>
            </w:tcBorders>
            <w:vAlign w:val="center"/>
          </w:tcPr>
          <w:p>
            <w:pPr>
              <w:spacing w:line="52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单位名称</w:t>
            </w:r>
          </w:p>
        </w:tc>
        <w:tc>
          <w:tcPr>
            <w:tcW w:w="2182" w:type="dxa"/>
            <w:vMerge w:val="restart"/>
            <w:tcBorders>
              <w:top w:val="nil"/>
              <w:left w:val="single" w:color="auto" w:sz="4" w:space="0"/>
              <w:bottom w:val="single" w:color="000000" w:sz="4" w:space="0"/>
              <w:right w:val="single" w:color="auto" w:sz="4" w:space="0"/>
            </w:tcBorders>
            <w:vAlign w:val="center"/>
          </w:tcPr>
          <w:p>
            <w:pPr>
              <w:spacing w:line="520" w:lineRule="exact"/>
              <w:jc w:val="center"/>
              <w:rPr>
                <w:rFonts w:ascii="仿宋" w:hAnsi="仿宋" w:eastAsia="仿宋" w:cs="仿宋_GB2312"/>
                <w:sz w:val="28"/>
                <w:szCs w:val="28"/>
              </w:rPr>
            </w:pPr>
            <w:r>
              <w:rPr>
                <w:rFonts w:hint="eastAsia" w:ascii="仿宋" w:hAnsi="仿宋" w:eastAsia="仿宋" w:cs="仿宋_GB2312"/>
                <w:sz w:val="28"/>
                <w:szCs w:val="28"/>
              </w:rPr>
              <w:t>单位性质</w:t>
            </w:r>
          </w:p>
        </w:tc>
        <w:tc>
          <w:tcPr>
            <w:tcW w:w="1761" w:type="dxa"/>
            <w:vMerge w:val="restart"/>
            <w:tcBorders>
              <w:top w:val="nil"/>
              <w:left w:val="single" w:color="auto" w:sz="4" w:space="0"/>
              <w:bottom w:val="single" w:color="000000" w:sz="4" w:space="0"/>
              <w:right w:val="single" w:color="auto" w:sz="4" w:space="0"/>
            </w:tcBorders>
            <w:vAlign w:val="center"/>
          </w:tcPr>
          <w:p>
            <w:pPr>
              <w:spacing w:line="520" w:lineRule="exact"/>
              <w:jc w:val="center"/>
              <w:rPr>
                <w:rFonts w:ascii="仿宋" w:hAnsi="仿宋" w:eastAsia="仿宋" w:cs="仿宋_GB2312"/>
                <w:sz w:val="28"/>
                <w:szCs w:val="28"/>
              </w:rPr>
            </w:pPr>
            <w:r>
              <w:rPr>
                <w:rFonts w:hint="eastAsia" w:ascii="仿宋" w:hAnsi="仿宋" w:eastAsia="仿宋" w:cs="仿宋_GB2312"/>
                <w:sz w:val="28"/>
                <w:szCs w:val="28"/>
              </w:rPr>
              <w:t>单位规格</w:t>
            </w:r>
          </w:p>
        </w:tc>
        <w:tc>
          <w:tcPr>
            <w:tcW w:w="2640" w:type="dxa"/>
            <w:vMerge w:val="restart"/>
            <w:tcBorders>
              <w:top w:val="nil"/>
              <w:left w:val="single" w:color="auto" w:sz="4" w:space="0"/>
              <w:bottom w:val="single" w:color="000000" w:sz="4" w:space="0"/>
              <w:right w:val="single" w:color="auto" w:sz="4" w:space="0"/>
            </w:tcBorders>
            <w:vAlign w:val="center"/>
          </w:tcPr>
          <w:p>
            <w:pPr>
              <w:spacing w:line="520" w:lineRule="exact"/>
              <w:jc w:val="center"/>
              <w:rPr>
                <w:rFonts w:ascii="仿宋" w:hAnsi="仿宋" w:eastAsia="仿宋" w:cs="仿宋_GB2312"/>
                <w:sz w:val="28"/>
                <w:szCs w:val="28"/>
              </w:rPr>
            </w:pPr>
            <w:r>
              <w:rPr>
                <w:rFonts w:hint="eastAsia" w:ascii="仿宋" w:hAnsi="仿宋" w:eastAsia="仿宋" w:cs="仿宋_GB2312"/>
                <w:sz w:val="28"/>
                <w:szCs w:val="28"/>
              </w:rPr>
              <w:t>经费保障形式</w:t>
            </w:r>
          </w:p>
        </w:tc>
      </w:tr>
      <w:tr>
        <w:tblPrEx>
          <w:tblLayout w:type="fixed"/>
          <w:tblCellMar>
            <w:top w:w="0" w:type="dxa"/>
            <w:left w:w="108" w:type="dxa"/>
            <w:bottom w:w="0" w:type="dxa"/>
            <w:right w:w="108" w:type="dxa"/>
          </w:tblCellMar>
        </w:tblPrEx>
        <w:trPr>
          <w:trHeight w:val="520" w:hRule="atLeast"/>
          <w:jc w:val="center"/>
        </w:trPr>
        <w:tc>
          <w:tcPr>
            <w:tcW w:w="783" w:type="dxa"/>
            <w:vMerge w:val="continue"/>
            <w:tcBorders>
              <w:top w:val="nil"/>
              <w:left w:val="single" w:color="auto" w:sz="4" w:space="0"/>
              <w:bottom w:val="single" w:color="000000" w:sz="4" w:space="0"/>
              <w:right w:val="single" w:color="auto" w:sz="4" w:space="0"/>
            </w:tcBorders>
            <w:vAlign w:val="center"/>
          </w:tcPr>
          <w:p>
            <w:pPr>
              <w:spacing w:line="520" w:lineRule="exact"/>
              <w:ind w:firstLine="560" w:firstLineChars="200"/>
              <w:jc w:val="left"/>
              <w:rPr>
                <w:rFonts w:ascii="仿宋" w:hAnsi="仿宋" w:eastAsia="仿宋" w:cs="仿宋_GB2312"/>
                <w:sz w:val="28"/>
                <w:szCs w:val="28"/>
              </w:rPr>
            </w:pPr>
          </w:p>
        </w:tc>
        <w:tc>
          <w:tcPr>
            <w:tcW w:w="2717" w:type="dxa"/>
            <w:vMerge w:val="continue"/>
            <w:tcBorders>
              <w:top w:val="nil"/>
              <w:left w:val="single" w:color="auto" w:sz="4" w:space="0"/>
              <w:bottom w:val="single" w:color="000000" w:sz="4" w:space="0"/>
              <w:right w:val="single" w:color="auto" w:sz="4" w:space="0"/>
            </w:tcBorders>
            <w:vAlign w:val="center"/>
          </w:tcPr>
          <w:p>
            <w:pPr>
              <w:spacing w:line="520" w:lineRule="exact"/>
              <w:ind w:firstLine="560" w:firstLineChars="200"/>
              <w:jc w:val="center"/>
              <w:rPr>
                <w:rFonts w:ascii="仿宋" w:hAnsi="仿宋" w:eastAsia="仿宋" w:cs="仿宋_GB2312"/>
                <w:sz w:val="28"/>
                <w:szCs w:val="28"/>
              </w:rPr>
            </w:pPr>
          </w:p>
        </w:tc>
        <w:tc>
          <w:tcPr>
            <w:tcW w:w="2182" w:type="dxa"/>
            <w:vMerge w:val="continue"/>
            <w:tcBorders>
              <w:top w:val="nil"/>
              <w:left w:val="single" w:color="auto" w:sz="4" w:space="0"/>
              <w:bottom w:val="single" w:color="000000" w:sz="4" w:space="0"/>
              <w:right w:val="single" w:color="auto" w:sz="4" w:space="0"/>
            </w:tcBorders>
            <w:vAlign w:val="center"/>
          </w:tcPr>
          <w:p>
            <w:pPr>
              <w:spacing w:line="520" w:lineRule="exact"/>
              <w:ind w:firstLine="560" w:firstLineChars="200"/>
              <w:jc w:val="center"/>
              <w:rPr>
                <w:rFonts w:ascii="仿宋" w:hAnsi="仿宋" w:eastAsia="仿宋" w:cs="仿宋_GB2312"/>
                <w:sz w:val="28"/>
                <w:szCs w:val="28"/>
              </w:rPr>
            </w:pPr>
          </w:p>
        </w:tc>
        <w:tc>
          <w:tcPr>
            <w:tcW w:w="1761" w:type="dxa"/>
            <w:vMerge w:val="continue"/>
            <w:tcBorders>
              <w:top w:val="nil"/>
              <w:left w:val="single" w:color="auto" w:sz="4" w:space="0"/>
              <w:bottom w:val="single" w:color="000000" w:sz="4" w:space="0"/>
              <w:right w:val="single" w:color="auto" w:sz="4" w:space="0"/>
            </w:tcBorders>
            <w:vAlign w:val="center"/>
          </w:tcPr>
          <w:p>
            <w:pPr>
              <w:spacing w:line="520" w:lineRule="exact"/>
              <w:ind w:firstLine="560" w:firstLineChars="200"/>
              <w:jc w:val="center"/>
              <w:rPr>
                <w:rFonts w:ascii="仿宋" w:hAnsi="仿宋" w:eastAsia="仿宋" w:cs="仿宋_GB2312"/>
                <w:sz w:val="28"/>
                <w:szCs w:val="28"/>
              </w:rPr>
            </w:pPr>
          </w:p>
        </w:tc>
        <w:tc>
          <w:tcPr>
            <w:tcW w:w="2640" w:type="dxa"/>
            <w:vMerge w:val="continue"/>
            <w:tcBorders>
              <w:top w:val="nil"/>
              <w:left w:val="single" w:color="auto" w:sz="4" w:space="0"/>
              <w:bottom w:val="single" w:color="000000" w:sz="4" w:space="0"/>
              <w:right w:val="single" w:color="auto" w:sz="4" w:space="0"/>
            </w:tcBorders>
            <w:vAlign w:val="center"/>
          </w:tcPr>
          <w:p>
            <w:pPr>
              <w:spacing w:line="520" w:lineRule="exact"/>
              <w:ind w:firstLine="560" w:firstLineChars="200"/>
              <w:jc w:val="center"/>
              <w:rPr>
                <w:rFonts w:ascii="仿宋" w:hAnsi="仿宋" w:eastAsia="仿宋" w:cs="仿宋_GB2312"/>
                <w:sz w:val="28"/>
                <w:szCs w:val="28"/>
              </w:rPr>
            </w:pPr>
          </w:p>
        </w:tc>
      </w:tr>
      <w:tr>
        <w:tblPrEx>
          <w:tblLayout w:type="fixed"/>
          <w:tblCellMar>
            <w:top w:w="0" w:type="dxa"/>
            <w:left w:w="108" w:type="dxa"/>
            <w:bottom w:w="0" w:type="dxa"/>
            <w:right w:w="108" w:type="dxa"/>
          </w:tblCellMar>
        </w:tblPrEx>
        <w:trPr>
          <w:trHeight w:val="720" w:hRule="atLeast"/>
          <w:jc w:val="center"/>
        </w:trPr>
        <w:tc>
          <w:tcPr>
            <w:tcW w:w="783" w:type="dxa"/>
            <w:tcBorders>
              <w:top w:val="nil"/>
              <w:left w:val="single" w:color="auto" w:sz="4" w:space="0"/>
              <w:bottom w:val="single" w:color="auto" w:sz="4" w:space="0"/>
              <w:right w:val="single" w:color="auto" w:sz="4" w:space="0"/>
            </w:tcBorders>
            <w:vAlign w:val="center"/>
          </w:tcPr>
          <w:p>
            <w:pPr>
              <w:spacing w:line="520" w:lineRule="exact"/>
              <w:ind w:firstLine="280" w:firstLineChars="100"/>
              <w:rPr>
                <w:rFonts w:ascii="仿宋" w:hAnsi="仿宋" w:eastAsia="仿宋" w:cs="仿宋_GB2312"/>
                <w:sz w:val="28"/>
                <w:szCs w:val="28"/>
              </w:rPr>
            </w:pPr>
            <w:r>
              <w:rPr>
                <w:rFonts w:hint="eastAsia" w:ascii="仿宋" w:hAnsi="仿宋" w:eastAsia="仿宋" w:cs="仿宋_GB2312"/>
                <w:sz w:val="28"/>
                <w:szCs w:val="28"/>
              </w:rPr>
              <w:t>1</w:t>
            </w:r>
          </w:p>
        </w:tc>
        <w:tc>
          <w:tcPr>
            <w:tcW w:w="2717" w:type="dxa"/>
            <w:tcBorders>
              <w:top w:val="nil"/>
              <w:left w:val="nil"/>
              <w:bottom w:val="single" w:color="auto" w:sz="4" w:space="0"/>
              <w:right w:val="single" w:color="auto" w:sz="4" w:space="0"/>
            </w:tcBorders>
            <w:vAlign w:val="center"/>
          </w:tcPr>
          <w:p>
            <w:pPr>
              <w:spacing w:line="52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保定市清苑区人民法院</w:t>
            </w:r>
          </w:p>
        </w:tc>
        <w:tc>
          <w:tcPr>
            <w:tcW w:w="2182" w:type="dxa"/>
            <w:tcBorders>
              <w:top w:val="nil"/>
              <w:left w:val="nil"/>
              <w:bottom w:val="single" w:color="auto" w:sz="4" w:space="0"/>
              <w:right w:val="single" w:color="auto" w:sz="4" w:space="0"/>
            </w:tcBorders>
            <w:vAlign w:val="center"/>
          </w:tcPr>
          <w:p>
            <w:pPr>
              <w:spacing w:line="520" w:lineRule="exact"/>
              <w:jc w:val="center"/>
              <w:rPr>
                <w:rFonts w:ascii="仿宋" w:hAnsi="仿宋" w:eastAsia="仿宋" w:cs="仿宋_GB2312"/>
                <w:sz w:val="28"/>
                <w:szCs w:val="28"/>
              </w:rPr>
            </w:pPr>
            <w:r>
              <w:rPr>
                <w:rFonts w:hint="eastAsia" w:ascii="仿宋" w:hAnsi="仿宋" w:eastAsia="仿宋" w:cs="仿宋_GB2312"/>
                <w:sz w:val="28"/>
                <w:szCs w:val="28"/>
              </w:rPr>
              <w:t>行政</w:t>
            </w:r>
          </w:p>
        </w:tc>
        <w:tc>
          <w:tcPr>
            <w:tcW w:w="1761" w:type="dxa"/>
            <w:tcBorders>
              <w:top w:val="nil"/>
              <w:left w:val="nil"/>
              <w:bottom w:val="single" w:color="auto" w:sz="4" w:space="0"/>
              <w:right w:val="single" w:color="auto" w:sz="4" w:space="0"/>
            </w:tcBorders>
            <w:vAlign w:val="center"/>
          </w:tcPr>
          <w:p>
            <w:pPr>
              <w:spacing w:line="520" w:lineRule="exact"/>
              <w:ind w:firstLine="140" w:firstLineChars="50"/>
              <w:rPr>
                <w:rFonts w:ascii="仿宋" w:hAnsi="仿宋" w:eastAsia="仿宋" w:cs="仿宋_GB2312"/>
                <w:sz w:val="28"/>
                <w:szCs w:val="28"/>
              </w:rPr>
            </w:pPr>
            <w:r>
              <w:rPr>
                <w:rFonts w:hint="eastAsia" w:ascii="仿宋" w:hAnsi="仿宋" w:eastAsia="仿宋" w:cs="仿宋_GB2312"/>
                <w:sz w:val="28"/>
                <w:szCs w:val="28"/>
              </w:rPr>
              <w:t>正处级</w:t>
            </w:r>
          </w:p>
        </w:tc>
        <w:tc>
          <w:tcPr>
            <w:tcW w:w="2640" w:type="dxa"/>
            <w:tcBorders>
              <w:top w:val="nil"/>
              <w:left w:val="nil"/>
              <w:bottom w:val="single" w:color="auto" w:sz="4" w:space="0"/>
              <w:right w:val="single" w:color="auto" w:sz="4" w:space="0"/>
            </w:tcBorders>
            <w:vAlign w:val="center"/>
          </w:tcPr>
          <w:p>
            <w:pPr>
              <w:spacing w:line="52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财政拨款</w:t>
            </w:r>
          </w:p>
        </w:tc>
      </w:tr>
    </w:tbl>
    <w:p>
      <w:pPr>
        <w:autoSpaceDE w:val="0"/>
        <w:autoSpaceDN w:val="0"/>
        <w:adjustRightInd w:val="0"/>
        <w:spacing w:line="580" w:lineRule="exact"/>
        <w:ind w:firstLine="640" w:firstLineChars="200"/>
        <w:jc w:val="left"/>
        <w:rPr>
          <w:rFonts w:ascii="黑体" w:hAnsi="黑体" w:eastAsia="黑体"/>
          <w:sz w:val="32"/>
          <w:szCs w:val="32"/>
        </w:rPr>
      </w:pPr>
    </w:p>
    <w:p>
      <w:pPr>
        <w:spacing w:line="580" w:lineRule="exact"/>
        <w:ind w:left="1713" w:firstLine="320" w:firstLineChars="100"/>
        <w:rPr>
          <w:rFonts w:ascii="黑体" w:hAnsi="黑体" w:eastAsia="黑体"/>
          <w:sz w:val="32"/>
          <w:szCs w:val="32"/>
        </w:rPr>
      </w:pPr>
      <w:r>
        <w:rPr>
          <w:rFonts w:hint="eastAsia" w:ascii="黑体" w:hAnsi="黑体" w:eastAsia="黑体"/>
          <w:sz w:val="32"/>
          <w:szCs w:val="32"/>
        </w:rPr>
        <w:t>第二部分：部门预算安排的总体情况</w:t>
      </w:r>
    </w:p>
    <w:p>
      <w:pPr>
        <w:spacing w:line="580" w:lineRule="exact"/>
        <w:ind w:firstLine="720" w:firstLineChars="225"/>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按照预算管理有关规定，目前我区部门预算的编制实行综合预算制度，即全部收入和支出都反映在预算中。保定市清苑人民法院及下属法庭的收支均包含在部门预算中。</w:t>
      </w:r>
    </w:p>
    <w:p>
      <w:pPr>
        <w:spacing w:line="580" w:lineRule="exact"/>
        <w:ind w:firstLine="560"/>
        <w:rPr>
          <w:rFonts w:ascii="华文楷体" w:hAnsi="华文楷体" w:eastAsia="华文楷体"/>
          <w:sz w:val="32"/>
          <w:szCs w:val="32"/>
        </w:rPr>
      </w:pPr>
      <w:r>
        <w:rPr>
          <w:rFonts w:hint="eastAsia" w:ascii="华文楷体" w:hAnsi="华文楷体" w:eastAsia="华文楷体"/>
          <w:sz w:val="32"/>
          <w:szCs w:val="32"/>
        </w:rPr>
        <w:t>一、收入说明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2020年预算收入为</w:t>
      </w:r>
      <w:r>
        <w:rPr>
          <w:rFonts w:ascii="仿宋" w:hAnsi="仿宋" w:eastAsia="仿宋"/>
          <w:sz w:val="32"/>
          <w:szCs w:val="32"/>
        </w:rPr>
        <w:t>1658.58</w:t>
      </w:r>
      <w:r>
        <w:rPr>
          <w:rFonts w:hint="eastAsia" w:ascii="仿宋" w:hAnsi="仿宋" w:eastAsia="仿宋"/>
          <w:sz w:val="32"/>
          <w:szCs w:val="32"/>
        </w:rPr>
        <w:t>万元，其中：一般公共预算收入</w:t>
      </w:r>
      <w:r>
        <w:rPr>
          <w:rFonts w:ascii="仿宋" w:hAnsi="仿宋" w:eastAsia="仿宋"/>
          <w:sz w:val="32"/>
          <w:szCs w:val="32"/>
        </w:rPr>
        <w:t>1658.58</w:t>
      </w:r>
      <w:r>
        <w:rPr>
          <w:rFonts w:hint="eastAsia" w:ascii="仿宋" w:hAnsi="仿宋" w:eastAsia="仿宋"/>
          <w:sz w:val="32"/>
          <w:szCs w:val="32"/>
        </w:rPr>
        <w:t>万元，基金预算收入0万元，国有资本经营预算收入0万元，财政专户收入0万元，其他来源收入0万元。</w:t>
      </w:r>
    </w:p>
    <w:p>
      <w:pPr>
        <w:spacing w:line="580" w:lineRule="exact"/>
        <w:ind w:firstLine="560"/>
        <w:rPr>
          <w:rFonts w:ascii="华文楷体" w:hAnsi="华文楷体" w:eastAsia="华文楷体"/>
          <w:sz w:val="32"/>
          <w:szCs w:val="32"/>
        </w:rPr>
      </w:pPr>
      <w:r>
        <w:rPr>
          <w:rFonts w:hint="eastAsia" w:ascii="华文楷体" w:hAnsi="华文楷体" w:eastAsia="华文楷体"/>
          <w:sz w:val="32"/>
          <w:szCs w:val="32"/>
        </w:rPr>
        <w:t>二、支出说明</w:t>
      </w:r>
    </w:p>
    <w:p>
      <w:pPr>
        <w:spacing w:line="580" w:lineRule="exact"/>
        <w:ind w:firstLine="720" w:firstLineChars="225"/>
        <w:rPr>
          <w:rFonts w:ascii="仿宋" w:hAnsi="仿宋" w:eastAsia="仿宋"/>
          <w:sz w:val="32"/>
          <w:szCs w:val="32"/>
        </w:rPr>
      </w:pPr>
      <w:r>
        <w:rPr>
          <w:rFonts w:hint="eastAsia" w:ascii="仿宋" w:hAnsi="仿宋" w:eastAsia="仿宋"/>
          <w:sz w:val="32"/>
          <w:szCs w:val="32"/>
        </w:rPr>
        <w:t>2020年部门支出预算：</w:t>
      </w:r>
      <w:r>
        <w:rPr>
          <w:rFonts w:ascii="仿宋" w:hAnsi="仿宋" w:eastAsia="仿宋"/>
          <w:sz w:val="32"/>
          <w:szCs w:val="32"/>
        </w:rPr>
        <w:t>1658.58</w:t>
      </w:r>
      <w:r>
        <w:rPr>
          <w:rFonts w:hint="eastAsia" w:ascii="仿宋" w:hAnsi="仿宋" w:eastAsia="仿宋"/>
          <w:sz w:val="32"/>
          <w:szCs w:val="32"/>
        </w:rPr>
        <w:t>万元</w:t>
      </w:r>
    </w:p>
    <w:p>
      <w:pPr>
        <w:spacing w:line="580" w:lineRule="exact"/>
        <w:ind w:firstLine="720" w:firstLineChars="225"/>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1618.58</w:t>
      </w:r>
      <w:r>
        <w:rPr>
          <w:rFonts w:hint="eastAsia" w:ascii="仿宋" w:hAnsi="仿宋" w:eastAsia="仿宋"/>
          <w:sz w:val="32"/>
          <w:szCs w:val="32"/>
        </w:rPr>
        <w:t>万元</w:t>
      </w:r>
    </w:p>
    <w:p>
      <w:pPr>
        <w:spacing w:line="580" w:lineRule="exact"/>
        <w:ind w:firstLine="1360" w:firstLineChars="425"/>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1337.09</w:t>
      </w:r>
      <w:r>
        <w:rPr>
          <w:rFonts w:hint="eastAsia" w:ascii="仿宋" w:hAnsi="仿宋" w:eastAsia="仿宋"/>
          <w:sz w:val="32"/>
          <w:szCs w:val="32"/>
        </w:rPr>
        <w:t>万元</w:t>
      </w:r>
    </w:p>
    <w:p>
      <w:pPr>
        <w:spacing w:line="580" w:lineRule="exact"/>
        <w:ind w:firstLine="2320" w:firstLineChars="725"/>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281.49</w:t>
      </w:r>
      <w:r>
        <w:rPr>
          <w:rFonts w:hint="eastAsia" w:ascii="仿宋" w:hAnsi="仿宋" w:eastAsia="仿宋"/>
          <w:sz w:val="32"/>
          <w:szCs w:val="32"/>
        </w:rPr>
        <w:t>万元</w:t>
      </w:r>
    </w:p>
    <w:p>
      <w:pPr>
        <w:spacing w:line="580" w:lineRule="exact"/>
        <w:rPr>
          <w:rFonts w:hint="eastAsia" w:ascii="仿宋" w:hAnsi="仿宋" w:eastAsia="仿宋"/>
          <w:sz w:val="32"/>
          <w:szCs w:val="32"/>
        </w:rPr>
      </w:pPr>
      <w:r>
        <w:rPr>
          <w:rFonts w:hint="eastAsia" w:ascii="仿宋" w:hAnsi="仿宋" w:eastAsia="仿宋"/>
          <w:sz w:val="32"/>
          <w:szCs w:val="32"/>
        </w:rPr>
        <w:t xml:space="preserve">     项目支出40万元</w:t>
      </w:r>
      <w:r>
        <w:rPr>
          <w:rFonts w:ascii="仿宋" w:hAnsi="仿宋" w:eastAsia="仿宋"/>
          <w:sz w:val="32"/>
          <w:szCs w:val="32"/>
        </w:rPr>
        <w:t>。</w:t>
      </w:r>
    </w:p>
    <w:p>
      <w:pPr>
        <w:spacing w:line="580" w:lineRule="exact"/>
        <w:ind w:firstLine="1440" w:firstLineChars="450"/>
        <w:rPr>
          <w:rFonts w:ascii="仿宋" w:hAnsi="仿宋" w:eastAsia="仿宋"/>
          <w:sz w:val="32"/>
          <w:szCs w:val="32"/>
        </w:rPr>
      </w:pPr>
      <w:r>
        <w:rPr>
          <w:rFonts w:hint="eastAsia" w:ascii="仿宋" w:hAnsi="仿宋" w:eastAsia="仿宋"/>
          <w:sz w:val="32"/>
          <w:szCs w:val="32"/>
        </w:rPr>
        <w:t>其中：项目支出</w:t>
      </w:r>
      <w:r>
        <w:rPr>
          <w:rFonts w:ascii="仿宋" w:hAnsi="仿宋" w:eastAsia="仿宋"/>
          <w:sz w:val="32"/>
          <w:szCs w:val="32"/>
        </w:rPr>
        <w:t>40</w:t>
      </w:r>
      <w:r>
        <w:rPr>
          <w:rFonts w:hint="eastAsia" w:ascii="仿宋" w:hAnsi="仿宋" w:eastAsia="仿宋"/>
          <w:sz w:val="32"/>
          <w:szCs w:val="32"/>
        </w:rPr>
        <w:t>万元</w:t>
      </w:r>
    </w:p>
    <w:p>
      <w:pPr>
        <w:spacing w:line="580" w:lineRule="exact"/>
        <w:ind w:firstLine="560"/>
        <w:rPr>
          <w:rFonts w:ascii="华文楷体" w:hAnsi="华文楷体" w:eastAsia="华文楷体"/>
          <w:sz w:val="32"/>
          <w:szCs w:val="32"/>
        </w:rPr>
      </w:pPr>
      <w:r>
        <w:rPr>
          <w:rFonts w:hint="eastAsia" w:ascii="华文楷体" w:hAnsi="华文楷体" w:eastAsia="华文楷体"/>
          <w:sz w:val="32"/>
          <w:szCs w:val="32"/>
        </w:rPr>
        <w:t>三、</w:t>
      </w:r>
      <w:r>
        <w:rPr>
          <w:rFonts w:ascii="华文楷体" w:hAnsi="华文楷体" w:eastAsia="华文楷体"/>
          <w:sz w:val="32"/>
          <w:szCs w:val="32"/>
        </w:rPr>
        <w:t>比上年增减情况</w:t>
      </w:r>
    </w:p>
    <w:p>
      <w:pPr>
        <w:spacing w:line="580" w:lineRule="exact"/>
        <w:ind w:firstLine="720" w:firstLineChars="225"/>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1658.58</w:t>
      </w:r>
      <w:r>
        <w:rPr>
          <w:rFonts w:hint="eastAsia" w:ascii="仿宋" w:hAnsi="仿宋" w:eastAsia="仿宋"/>
          <w:sz w:val="32"/>
          <w:szCs w:val="32"/>
        </w:rPr>
        <w:t>万元，较上年增加</w:t>
      </w:r>
      <w:r>
        <w:rPr>
          <w:rFonts w:ascii="仿宋" w:hAnsi="仿宋" w:eastAsia="仿宋" w:cs="仿宋_GB2312"/>
          <w:sz w:val="28"/>
          <w:szCs w:val="28"/>
        </w:rPr>
        <w:t>181.21</w:t>
      </w:r>
      <w:r>
        <w:rPr>
          <w:rFonts w:hint="eastAsia" w:ascii="仿宋" w:hAnsi="仿宋" w:eastAsia="仿宋" w:cs="仿宋_GB2312"/>
          <w:sz w:val="28"/>
          <w:szCs w:val="28"/>
        </w:rPr>
        <w:t>万元，</w:t>
      </w:r>
      <w:r>
        <w:rPr>
          <w:rFonts w:hint="eastAsia" w:ascii="仿宋" w:hAnsi="仿宋" w:eastAsia="仿宋"/>
          <w:sz w:val="32"/>
          <w:szCs w:val="32"/>
        </w:rPr>
        <w:t>其中：基本支出增加</w:t>
      </w:r>
      <w:r>
        <w:rPr>
          <w:rFonts w:ascii="仿宋" w:hAnsi="仿宋" w:eastAsia="仿宋"/>
          <w:sz w:val="32"/>
          <w:szCs w:val="32"/>
        </w:rPr>
        <w:t>141.21</w:t>
      </w:r>
      <w:r>
        <w:rPr>
          <w:rFonts w:hint="eastAsia" w:ascii="仿宋" w:hAnsi="仿宋" w:eastAsia="仿宋"/>
          <w:sz w:val="32"/>
          <w:szCs w:val="32"/>
        </w:rPr>
        <w:t>万元，主要是增加人员经费；项目支出增加40万元，原因为</w:t>
      </w:r>
      <w:r>
        <w:rPr>
          <w:rFonts w:hint="eastAsia" w:ascii="仿宋" w:hAnsi="仿宋" w:eastAsia="仿宋"/>
          <w:sz w:val="32"/>
          <w:szCs w:val="32"/>
          <w:lang w:eastAsia="zh-CN"/>
        </w:rPr>
        <w:t>增加</w:t>
      </w:r>
      <w:r>
        <w:rPr>
          <w:rFonts w:hint="eastAsia" w:ascii="仿宋" w:hAnsi="仿宋" w:eastAsia="仿宋"/>
          <w:sz w:val="32"/>
          <w:szCs w:val="32"/>
        </w:rPr>
        <w:t>2020年</w:t>
      </w:r>
      <w:r>
        <w:rPr>
          <w:rFonts w:ascii="仿宋" w:hAnsi="仿宋" w:eastAsia="仿宋"/>
          <w:sz w:val="32"/>
          <w:szCs w:val="32"/>
        </w:rPr>
        <w:t>结转</w:t>
      </w:r>
      <w:r>
        <w:rPr>
          <w:rFonts w:hint="eastAsia" w:ascii="仿宋" w:hAnsi="仿宋" w:eastAsia="仿宋"/>
          <w:sz w:val="32"/>
          <w:szCs w:val="32"/>
        </w:rPr>
        <w:t>上级专款项目资金。</w:t>
      </w:r>
    </w:p>
    <w:p>
      <w:pPr>
        <w:spacing w:line="580" w:lineRule="exact"/>
        <w:jc w:val="center"/>
        <w:outlineLvl w:val="0"/>
        <w:rPr>
          <w:rFonts w:ascii="黑体" w:hAnsi="黑体" w:eastAsia="黑体"/>
          <w:sz w:val="32"/>
          <w:szCs w:val="32"/>
        </w:rPr>
      </w:pPr>
      <w:r>
        <w:rPr>
          <w:rFonts w:hint="eastAsia" w:ascii="黑体" w:hAnsi="黑体" w:eastAsia="黑体"/>
          <w:sz w:val="32"/>
          <w:szCs w:val="32"/>
        </w:rPr>
        <w:t>第三部分：机关运行经费安排情况</w:t>
      </w:r>
    </w:p>
    <w:p>
      <w:pPr>
        <w:spacing w:line="580" w:lineRule="exact"/>
        <w:ind w:firstLine="720" w:firstLineChars="225"/>
        <w:rPr>
          <w:rFonts w:ascii="仿宋" w:hAnsi="仿宋" w:eastAsia="仿宋"/>
          <w:sz w:val="32"/>
          <w:szCs w:val="32"/>
        </w:rPr>
      </w:pPr>
      <w:r>
        <w:rPr>
          <w:rFonts w:hint="eastAsia" w:ascii="仿宋" w:hAnsi="仿宋" w:eastAsia="仿宋"/>
          <w:sz w:val="32"/>
          <w:szCs w:val="32"/>
        </w:rPr>
        <w:t>2020年，我部门机关运行经费安排</w:t>
      </w:r>
      <w:r>
        <w:rPr>
          <w:rFonts w:ascii="仿宋" w:hAnsi="仿宋" w:eastAsia="仿宋"/>
          <w:sz w:val="32"/>
          <w:szCs w:val="32"/>
        </w:rPr>
        <w:t>281.49</w:t>
      </w:r>
      <w:r>
        <w:rPr>
          <w:rFonts w:hint="eastAsia" w:ascii="仿宋" w:hAnsi="仿宋" w:eastAsia="仿宋"/>
          <w:sz w:val="32"/>
          <w:szCs w:val="32"/>
        </w:rPr>
        <w:t>万元，其中：办公费</w:t>
      </w:r>
      <w:r>
        <w:rPr>
          <w:rFonts w:ascii="仿宋" w:hAnsi="仿宋" w:eastAsia="仿宋"/>
          <w:sz w:val="32"/>
          <w:szCs w:val="32"/>
        </w:rPr>
        <w:t>31</w:t>
      </w:r>
      <w:r>
        <w:rPr>
          <w:rFonts w:hint="eastAsia" w:ascii="仿宋" w:hAnsi="仿宋" w:eastAsia="仿宋"/>
          <w:sz w:val="32"/>
          <w:szCs w:val="32"/>
        </w:rPr>
        <w:t>万元、水费</w:t>
      </w:r>
      <w:r>
        <w:rPr>
          <w:rFonts w:ascii="仿宋" w:hAnsi="仿宋" w:eastAsia="仿宋"/>
          <w:sz w:val="32"/>
          <w:szCs w:val="32"/>
        </w:rPr>
        <w:t>2</w:t>
      </w:r>
      <w:r>
        <w:rPr>
          <w:rFonts w:hint="eastAsia" w:ascii="仿宋" w:hAnsi="仿宋" w:eastAsia="仿宋"/>
          <w:sz w:val="32"/>
          <w:szCs w:val="32"/>
        </w:rPr>
        <w:t>万元、电费</w:t>
      </w:r>
      <w:r>
        <w:rPr>
          <w:rFonts w:ascii="仿宋" w:hAnsi="仿宋" w:eastAsia="仿宋"/>
          <w:sz w:val="32"/>
          <w:szCs w:val="32"/>
        </w:rPr>
        <w:t>11</w:t>
      </w:r>
      <w:r>
        <w:rPr>
          <w:rFonts w:hint="eastAsia" w:ascii="仿宋" w:hAnsi="仿宋" w:eastAsia="仿宋"/>
          <w:sz w:val="32"/>
          <w:szCs w:val="32"/>
        </w:rPr>
        <w:t>万元、取暖费11万元、维修（护）费</w:t>
      </w:r>
      <w:r>
        <w:rPr>
          <w:rFonts w:ascii="仿宋" w:hAnsi="仿宋" w:eastAsia="仿宋"/>
          <w:sz w:val="32"/>
          <w:szCs w:val="32"/>
        </w:rPr>
        <w:t>9.6</w:t>
      </w:r>
      <w:r>
        <w:rPr>
          <w:rFonts w:hint="eastAsia" w:ascii="仿宋" w:hAnsi="仿宋" w:eastAsia="仿宋"/>
          <w:sz w:val="32"/>
          <w:szCs w:val="32"/>
        </w:rPr>
        <w:t>万元、培训费</w:t>
      </w:r>
      <w:r>
        <w:rPr>
          <w:rFonts w:ascii="仿宋" w:hAnsi="仿宋" w:eastAsia="仿宋"/>
          <w:sz w:val="32"/>
          <w:szCs w:val="32"/>
        </w:rPr>
        <w:t>7</w:t>
      </w:r>
      <w:r>
        <w:rPr>
          <w:rFonts w:hint="eastAsia" w:ascii="仿宋" w:hAnsi="仿宋" w:eastAsia="仿宋"/>
          <w:sz w:val="32"/>
          <w:szCs w:val="32"/>
        </w:rPr>
        <w:t>万元。邮电费</w:t>
      </w:r>
      <w:r>
        <w:rPr>
          <w:rFonts w:ascii="仿宋" w:hAnsi="仿宋" w:eastAsia="仿宋"/>
          <w:sz w:val="32"/>
          <w:szCs w:val="32"/>
        </w:rPr>
        <w:t>31.98</w:t>
      </w:r>
      <w:r>
        <w:rPr>
          <w:rFonts w:hint="eastAsia" w:ascii="仿宋" w:hAnsi="仿宋" w:eastAsia="仿宋"/>
          <w:sz w:val="32"/>
          <w:szCs w:val="32"/>
        </w:rPr>
        <w:t>万元、离退休干部经费</w:t>
      </w:r>
      <w:r>
        <w:rPr>
          <w:rFonts w:ascii="仿宋" w:hAnsi="仿宋" w:eastAsia="仿宋"/>
          <w:sz w:val="32"/>
          <w:szCs w:val="32"/>
        </w:rPr>
        <w:t>0.25</w:t>
      </w:r>
      <w:r>
        <w:rPr>
          <w:rFonts w:hint="eastAsia" w:ascii="仿宋" w:hAnsi="仿宋" w:eastAsia="仿宋"/>
          <w:sz w:val="32"/>
          <w:szCs w:val="32"/>
        </w:rPr>
        <w:t>万元、公务交通补贴</w:t>
      </w:r>
      <w:r>
        <w:rPr>
          <w:rFonts w:ascii="仿宋" w:hAnsi="仿宋" w:eastAsia="仿宋"/>
          <w:sz w:val="32"/>
          <w:szCs w:val="32"/>
        </w:rPr>
        <w:t>49.55</w:t>
      </w:r>
      <w:r>
        <w:rPr>
          <w:rFonts w:hint="eastAsia" w:ascii="仿宋" w:hAnsi="仿宋" w:eastAsia="仿宋"/>
          <w:sz w:val="32"/>
          <w:szCs w:val="32"/>
        </w:rPr>
        <w:t>万元、福利费</w:t>
      </w:r>
      <w:r>
        <w:rPr>
          <w:rFonts w:ascii="仿宋" w:hAnsi="仿宋" w:eastAsia="仿宋"/>
          <w:sz w:val="32"/>
          <w:szCs w:val="32"/>
        </w:rPr>
        <w:t>8.11</w:t>
      </w:r>
      <w:r>
        <w:rPr>
          <w:rFonts w:hint="eastAsia" w:ascii="仿宋" w:hAnsi="仿宋" w:eastAsia="仿宋"/>
          <w:sz w:val="32"/>
          <w:szCs w:val="32"/>
        </w:rPr>
        <w:t>万元、劳务费120万元。</w:t>
      </w:r>
    </w:p>
    <w:p>
      <w:pPr>
        <w:spacing w:line="580" w:lineRule="exact"/>
        <w:ind w:firstLine="720" w:firstLineChars="225"/>
        <w:rPr>
          <w:rFonts w:ascii="仿宋" w:hAnsi="仿宋" w:eastAsia="仿宋"/>
          <w:sz w:val="32"/>
          <w:szCs w:val="32"/>
        </w:rPr>
      </w:pPr>
    </w:p>
    <w:p>
      <w:pPr>
        <w:spacing w:line="580" w:lineRule="exact"/>
        <w:jc w:val="center"/>
        <w:outlineLvl w:val="0"/>
        <w:rPr>
          <w:rFonts w:ascii="黑体" w:hAnsi="黑体" w:eastAsia="黑体"/>
          <w:sz w:val="32"/>
          <w:szCs w:val="32"/>
        </w:rPr>
      </w:pPr>
      <w:r>
        <w:rPr>
          <w:rFonts w:hint="eastAsia" w:ascii="黑体" w:hAnsi="黑体" w:eastAsia="黑体"/>
          <w:sz w:val="32"/>
          <w:szCs w:val="32"/>
        </w:rPr>
        <w:t>第四部分：财政拨款“三公”经费预算情况及增减变化原因</w:t>
      </w:r>
    </w:p>
    <w:p>
      <w:pPr>
        <w:spacing w:line="580" w:lineRule="exact"/>
        <w:jc w:val="center"/>
        <w:outlineLvl w:val="0"/>
        <w:rPr>
          <w:rFonts w:ascii="黑体" w:hAnsi="黑体" w:eastAsia="黑体"/>
          <w:sz w:val="32"/>
          <w:szCs w:val="32"/>
        </w:rPr>
      </w:pPr>
    </w:p>
    <w:tbl>
      <w:tblPr>
        <w:tblStyle w:val="8"/>
        <w:tblW w:w="9499" w:type="dxa"/>
        <w:jc w:val="center"/>
        <w:tblInd w:w="0" w:type="dxa"/>
        <w:tblLayout w:type="fixed"/>
        <w:tblCellMar>
          <w:top w:w="0" w:type="dxa"/>
          <w:left w:w="108" w:type="dxa"/>
          <w:bottom w:w="0" w:type="dxa"/>
          <w:right w:w="108" w:type="dxa"/>
        </w:tblCellMar>
      </w:tblPr>
      <w:tblGrid>
        <w:gridCol w:w="2310"/>
        <w:gridCol w:w="1577"/>
        <w:gridCol w:w="1577"/>
        <w:gridCol w:w="1081"/>
        <w:gridCol w:w="2954"/>
      </w:tblGrid>
      <w:tr>
        <w:tblPrEx>
          <w:tblLayout w:type="fixed"/>
          <w:tblCellMar>
            <w:top w:w="0" w:type="dxa"/>
            <w:left w:w="108" w:type="dxa"/>
            <w:bottom w:w="0" w:type="dxa"/>
            <w:right w:w="108" w:type="dxa"/>
          </w:tblCellMar>
        </w:tblPrEx>
        <w:trPr>
          <w:trHeight w:val="583" w:hRule="atLeast"/>
          <w:jc w:val="center"/>
        </w:trPr>
        <w:tc>
          <w:tcPr>
            <w:tcW w:w="9499" w:type="dxa"/>
            <w:gridSpan w:val="5"/>
            <w:tcBorders>
              <w:top w:val="nil"/>
              <w:left w:val="nil"/>
              <w:bottom w:val="nil"/>
              <w:right w:val="nil"/>
            </w:tcBorders>
            <w:shd w:val="clear" w:color="auto" w:fill="auto"/>
            <w:vAlign w:val="center"/>
          </w:tcPr>
          <w:p>
            <w:pPr>
              <w:widowControl/>
              <w:spacing w:line="520" w:lineRule="exact"/>
              <w:jc w:val="center"/>
              <w:rPr>
                <w:rFonts w:ascii="黑体" w:hAnsi="黑体" w:eastAsia="黑体"/>
                <w:sz w:val="32"/>
                <w:szCs w:val="32"/>
              </w:rPr>
            </w:pPr>
          </w:p>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Layout w:type="fixed"/>
          <w:tblCellMar>
            <w:top w:w="0" w:type="dxa"/>
            <w:left w:w="108" w:type="dxa"/>
            <w:bottom w:w="0" w:type="dxa"/>
            <w:right w:w="108" w:type="dxa"/>
          </w:tblCellMar>
        </w:tblPrEx>
        <w:trPr>
          <w:trHeight w:val="221" w:hRule="atLeast"/>
          <w:jc w:val="center"/>
        </w:trPr>
        <w:tc>
          <w:tcPr>
            <w:tcW w:w="231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577"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577"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081"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954" w:type="dxa"/>
            <w:tcBorders>
              <w:top w:val="nil"/>
              <w:left w:val="nil"/>
              <w:bottom w:val="nil"/>
              <w:right w:val="nil"/>
            </w:tcBorders>
            <w:shd w:val="clear" w:color="auto" w:fill="auto"/>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484" w:hRule="atLeast"/>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项目名称</w:t>
            </w: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120" w:firstLineChars="50"/>
              <w:jc w:val="left"/>
              <w:rPr>
                <w:rFonts w:ascii="黑体" w:hAnsi="黑体" w:eastAsia="黑体" w:cs="宋体"/>
                <w:kern w:val="0"/>
                <w:sz w:val="24"/>
                <w:szCs w:val="24"/>
              </w:rPr>
            </w:pPr>
            <w:r>
              <w:rPr>
                <w:rFonts w:hint="eastAsia" w:ascii="黑体" w:hAnsi="黑体" w:eastAsia="黑体" w:cs="宋体"/>
                <w:kern w:val="0"/>
                <w:sz w:val="24"/>
                <w:szCs w:val="24"/>
              </w:rPr>
              <w:t>2019年度</w:t>
            </w:r>
          </w:p>
          <w:p>
            <w:pPr>
              <w:widowControl/>
              <w:spacing w:line="400" w:lineRule="exact"/>
              <w:ind w:firstLine="120" w:firstLineChars="50"/>
              <w:jc w:val="left"/>
              <w:rPr>
                <w:rFonts w:ascii="黑体" w:hAnsi="黑体" w:eastAsia="黑体" w:cs="宋体"/>
                <w:kern w:val="0"/>
                <w:sz w:val="24"/>
                <w:szCs w:val="24"/>
              </w:rPr>
            </w:pPr>
            <w:r>
              <w:rPr>
                <w:rFonts w:hint="eastAsia" w:ascii="黑体" w:hAnsi="黑体" w:eastAsia="黑体" w:cs="宋体"/>
                <w:kern w:val="0"/>
                <w:sz w:val="24"/>
                <w:szCs w:val="24"/>
              </w:rPr>
              <w:t>预    算</w:t>
            </w: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4"/>
              </w:rPr>
            </w:pPr>
            <w:r>
              <w:rPr>
                <w:rFonts w:hint="eastAsia" w:ascii="黑体" w:hAnsi="黑体" w:eastAsia="黑体" w:cs="宋体"/>
                <w:kern w:val="0"/>
                <w:sz w:val="24"/>
                <w:szCs w:val="24"/>
              </w:rPr>
              <w:t>2020年度</w:t>
            </w:r>
          </w:p>
          <w:p>
            <w:pPr>
              <w:widowControl/>
              <w:spacing w:line="400" w:lineRule="exact"/>
              <w:jc w:val="center"/>
              <w:rPr>
                <w:rFonts w:ascii="黑体" w:hAnsi="黑体" w:eastAsia="黑体" w:cs="宋体"/>
                <w:kern w:val="0"/>
                <w:sz w:val="24"/>
                <w:szCs w:val="24"/>
              </w:rPr>
            </w:pPr>
            <w:r>
              <w:rPr>
                <w:rFonts w:hint="eastAsia" w:ascii="黑体" w:hAnsi="黑体" w:eastAsia="黑体" w:cs="宋体"/>
                <w:kern w:val="0"/>
                <w:sz w:val="24"/>
                <w:szCs w:val="24"/>
              </w:rPr>
              <w:t>预     算</w:t>
            </w:r>
          </w:p>
        </w:tc>
        <w:tc>
          <w:tcPr>
            <w:tcW w:w="108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szCs w:val="24"/>
              </w:rPr>
            </w:pPr>
            <w:r>
              <w:rPr>
                <w:rFonts w:hint="eastAsia" w:ascii="黑体" w:hAnsi="黑体" w:eastAsia="黑体" w:cs="宋体"/>
                <w:kern w:val="0"/>
                <w:sz w:val="24"/>
                <w:szCs w:val="24"/>
              </w:rPr>
              <w:t>增  减</w:t>
            </w:r>
          </w:p>
          <w:p>
            <w:pPr>
              <w:widowControl/>
              <w:spacing w:line="400" w:lineRule="exact"/>
              <w:jc w:val="center"/>
              <w:rPr>
                <w:rFonts w:ascii="黑体" w:hAnsi="黑体" w:eastAsia="黑体" w:cs="宋体"/>
                <w:kern w:val="0"/>
                <w:sz w:val="24"/>
                <w:szCs w:val="24"/>
              </w:rPr>
            </w:pPr>
            <w:r>
              <w:rPr>
                <w:rFonts w:hint="eastAsia" w:ascii="黑体" w:hAnsi="黑体" w:eastAsia="黑体" w:cs="宋体"/>
                <w:kern w:val="0"/>
                <w:sz w:val="24"/>
                <w:szCs w:val="24"/>
              </w:rPr>
              <w:t>金  额</w:t>
            </w:r>
          </w:p>
        </w:tc>
        <w:tc>
          <w:tcPr>
            <w:tcW w:w="2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变化原因</w:t>
            </w:r>
          </w:p>
        </w:tc>
      </w:tr>
      <w:tr>
        <w:tblPrEx>
          <w:tblLayout w:type="fixed"/>
          <w:tblCellMar>
            <w:top w:w="0" w:type="dxa"/>
            <w:left w:w="108" w:type="dxa"/>
            <w:bottom w:w="0" w:type="dxa"/>
            <w:right w:w="108" w:type="dxa"/>
          </w:tblCellMar>
        </w:tblPrEx>
        <w:trPr>
          <w:trHeight w:val="649"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 w:cs="宋体"/>
                <w:kern w:val="0"/>
                <w:sz w:val="24"/>
                <w:szCs w:val="24"/>
              </w:rPr>
            </w:pPr>
            <w:r>
              <w:rPr>
                <w:rFonts w:hint="eastAsia" w:ascii="仿宋_GB2312" w:hAnsi="宋体" w:eastAsia="仿宋_GB2312" w:cs="宋体"/>
                <w:kern w:val="0"/>
                <w:sz w:val="24"/>
                <w:szCs w:val="24"/>
              </w:rPr>
              <w:t>无增减变化</w:t>
            </w:r>
            <w:r>
              <w:rPr>
                <w:rFonts w:hint="eastAsia" w:ascii="仿宋" w:hAnsi="仿宋" w:eastAsia="仿宋" w:cs="宋体"/>
                <w:kern w:val="0"/>
                <w:szCs w:val="21"/>
              </w:rPr>
              <w:t>。</w:t>
            </w:r>
          </w:p>
        </w:tc>
      </w:tr>
      <w:tr>
        <w:tblPrEx>
          <w:tblLayout w:type="fixed"/>
          <w:tblCellMar>
            <w:top w:w="0" w:type="dxa"/>
            <w:left w:w="108" w:type="dxa"/>
            <w:bottom w:w="0" w:type="dxa"/>
            <w:right w:w="108" w:type="dxa"/>
          </w:tblCellMar>
        </w:tblPrEx>
        <w:trPr>
          <w:trHeight w:val="570"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38</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+35</w:t>
            </w:r>
          </w:p>
        </w:tc>
        <w:tc>
          <w:tcPr>
            <w:tcW w:w="295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 w:cs="宋体"/>
                <w:kern w:val="0"/>
                <w:sz w:val="24"/>
                <w:szCs w:val="24"/>
              </w:rPr>
            </w:pPr>
            <w:r>
              <w:rPr>
                <w:rFonts w:hint="eastAsia" w:ascii="仿宋" w:hAnsi="仿宋" w:eastAsia="仿宋" w:cs="宋体"/>
                <w:kern w:val="0"/>
                <w:szCs w:val="21"/>
              </w:rPr>
              <w:t>我单位从政法转移办案专款中开支的执法用车维护费，本年度列入三公填报。</w:t>
            </w:r>
          </w:p>
        </w:tc>
      </w:tr>
      <w:tr>
        <w:tblPrEx>
          <w:tblLayout w:type="fixed"/>
          <w:tblCellMar>
            <w:top w:w="0" w:type="dxa"/>
            <w:left w:w="108" w:type="dxa"/>
            <w:bottom w:w="0" w:type="dxa"/>
            <w:right w:w="108" w:type="dxa"/>
          </w:tblCellMar>
        </w:tblPrEx>
        <w:trPr>
          <w:trHeight w:val="553"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公务接待经费</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95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489"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合     计</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38</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+35</w:t>
            </w:r>
          </w:p>
        </w:tc>
        <w:tc>
          <w:tcPr>
            <w:tcW w:w="2954"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ascii="仿宋_GB2312" w:hAnsi="宋体" w:eastAsia="仿宋_GB2312" w:cs="宋体"/>
                <w:kern w:val="0"/>
                <w:sz w:val="24"/>
                <w:szCs w:val="24"/>
              </w:rPr>
            </w:pPr>
            <w:r>
              <w:rPr>
                <w:rFonts w:hint="eastAsia" w:ascii="仿宋" w:hAnsi="仿宋" w:eastAsia="仿宋" w:cs="宋体"/>
                <w:kern w:val="0"/>
                <w:szCs w:val="21"/>
              </w:rPr>
              <w:t>我单位从政法转移办案专款中开支的执法用车维护费，本年度列入三公填报管理</w:t>
            </w:r>
            <w:r>
              <w:rPr>
                <w:rFonts w:ascii="仿宋" w:hAnsi="仿宋" w:eastAsia="仿宋" w:cs="宋体"/>
                <w:kern w:val="0"/>
                <w:szCs w:val="21"/>
              </w:rPr>
              <w:t>。</w:t>
            </w:r>
          </w:p>
        </w:tc>
      </w:tr>
    </w:tbl>
    <w:p>
      <w:pPr>
        <w:spacing w:line="580" w:lineRule="exact"/>
        <w:jc w:val="center"/>
        <w:outlineLvl w:val="0"/>
        <w:rPr>
          <w:rFonts w:ascii="黑体" w:hAnsi="黑体" w:eastAsia="黑体"/>
          <w:sz w:val="32"/>
          <w:szCs w:val="32"/>
        </w:rPr>
      </w:pPr>
    </w:p>
    <w:p>
      <w:pPr>
        <w:spacing w:line="580" w:lineRule="exact"/>
        <w:jc w:val="center"/>
        <w:outlineLvl w:val="0"/>
        <w:rPr>
          <w:rFonts w:ascii="黑体" w:hAnsi="黑体" w:eastAsia="黑体"/>
          <w:sz w:val="32"/>
          <w:szCs w:val="32"/>
        </w:rPr>
      </w:pPr>
      <w:r>
        <w:rPr>
          <w:rFonts w:hint="eastAsia" w:ascii="黑体" w:hAnsi="黑体" w:eastAsia="黑体"/>
          <w:sz w:val="32"/>
          <w:szCs w:val="32"/>
        </w:rPr>
        <w:t>第五部分：绩效预算信息</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 xml:space="preserve"> </w:t>
      </w:r>
    </w:p>
    <w:p>
      <w:pPr>
        <w:ind w:firstLine="643" w:firstLineChars="200"/>
        <w:jc w:val="left"/>
        <w:outlineLvl w:val="1"/>
        <w:rPr>
          <w:rFonts w:ascii="黑体" w:hAnsi="黑体" w:eastAsia="黑体"/>
          <w:sz w:val="32"/>
          <w:szCs w:val="32"/>
        </w:rPr>
      </w:pPr>
      <w:r>
        <w:rPr>
          <w:rFonts w:hint="eastAsia" w:ascii="楷体_GB2312" w:hAnsi="楷体_GB2312" w:eastAsia="楷体_GB2312" w:cs="楷体_GB2312"/>
          <w:b/>
          <w:bCs/>
          <w:sz w:val="32"/>
          <w:szCs w:val="32"/>
        </w:rPr>
        <w:t>一、</w:t>
      </w:r>
      <w:r>
        <w:rPr>
          <w:rFonts w:hint="eastAsia" w:ascii="黑体" w:hAnsi="黑体" w:eastAsia="黑体"/>
          <w:sz w:val="32"/>
          <w:szCs w:val="32"/>
        </w:rPr>
        <w:t>部门整体绩效目标</w:t>
      </w:r>
    </w:p>
    <w:p>
      <w:pPr>
        <w:ind w:firstLine="640" w:firstLineChars="200"/>
        <w:jc w:val="left"/>
        <w:outlineLvl w:val="1"/>
        <w:rPr>
          <w:rFonts w:ascii="楷体" w:hAnsi="楷体" w:eastAsia="楷体"/>
          <w:sz w:val="32"/>
          <w:szCs w:val="32"/>
        </w:rPr>
      </w:pPr>
      <w:r>
        <w:rPr>
          <w:rFonts w:hint="eastAsia" w:ascii="楷体" w:hAnsi="楷体" w:eastAsia="楷体"/>
          <w:sz w:val="32"/>
          <w:szCs w:val="32"/>
        </w:rPr>
        <w:t>(一)总体绩效目标</w:t>
      </w:r>
      <w:r>
        <w:rPr>
          <w:rFonts w:ascii="楷体" w:hAnsi="楷体" w:eastAsia="楷体"/>
          <w:sz w:val="32"/>
          <w:szCs w:val="32"/>
        </w:rPr>
        <w:fldChar w:fldCharType="begin"/>
      </w:r>
      <w:r>
        <w:rPr>
          <w:rFonts w:ascii="楷体" w:hAnsi="楷体" w:eastAsia="楷体"/>
          <w:sz w:val="32"/>
          <w:szCs w:val="32"/>
        </w:rPr>
        <w:instrText xml:space="preserve"> </w:instrText>
      </w:r>
      <w:r>
        <w:rPr>
          <w:rFonts w:hint="eastAsia" w:ascii="楷体" w:hAnsi="楷体" w:eastAsia="楷体"/>
          <w:sz w:val="32"/>
          <w:szCs w:val="32"/>
        </w:rPr>
        <w:instrText xml:space="preserve">TC </w:instrText>
      </w:r>
      <w:bookmarkStart w:id="0" w:name="_Toc29981071"/>
      <w:r>
        <w:rPr>
          <w:rFonts w:hint="eastAsia" w:ascii="楷体" w:hAnsi="楷体" w:eastAsia="楷体"/>
          <w:sz w:val="32"/>
          <w:szCs w:val="32"/>
        </w:rPr>
        <w:instrText xml:space="preserve">总体绩效目标</w:instrText>
      </w:r>
      <w:bookmarkEnd w:id="0"/>
      <w:r>
        <w:rPr>
          <w:rFonts w:hint="eastAsia" w:ascii="楷体" w:hAnsi="楷体" w:eastAsia="楷体"/>
          <w:sz w:val="32"/>
          <w:szCs w:val="32"/>
        </w:rPr>
        <w:instrText xml:space="preserve"> \f A \l 1</w:instrText>
      </w:r>
      <w:r>
        <w:rPr>
          <w:rFonts w:ascii="楷体" w:hAnsi="楷体" w:eastAsia="楷体"/>
          <w:sz w:val="32"/>
          <w:szCs w:val="32"/>
        </w:rPr>
        <w:instrText xml:space="preserve"> </w:instrText>
      </w:r>
      <w:r>
        <w:rPr>
          <w:rFonts w:ascii="楷体" w:hAnsi="楷体" w:eastAsia="楷体"/>
          <w:sz w:val="32"/>
          <w:szCs w:val="32"/>
        </w:rPr>
        <w:fldChar w:fldCharType="end"/>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目标主要有依法惩治刑事犯罪，监督行政机关依法行政，促进社会和谐稳定服务全区工作大局。同时积极推进执法工作进行，切实保障群众的合法权益，维护社会的稳定与正义。完善审判质效体系健全司法权力运行机制，提供司法公信力。不断提高队伍素质和执法能力，推进信息公开化，推进信息公开，改进司法工作作风，树立良好的形象。精简、高效、方便诉讼的原则、科学划分职责、合理分配资源。</w:t>
      </w:r>
    </w:p>
    <w:p>
      <w:pPr>
        <w:spacing w:line="520" w:lineRule="exact"/>
        <w:ind w:firstLine="640" w:firstLineChars="200"/>
        <w:rPr>
          <w:rFonts w:hint="eastAsia" w:ascii="仿宋" w:hAnsi="仿宋" w:eastAsia="仿宋" w:cs="仿宋_GB2312"/>
          <w:sz w:val="32"/>
          <w:szCs w:val="32"/>
        </w:rPr>
      </w:pPr>
      <w:r>
        <w:rPr>
          <w:rFonts w:hint="eastAsia" w:ascii="楷体" w:hAnsi="楷体" w:eastAsia="楷体"/>
          <w:sz w:val="32"/>
          <w:szCs w:val="32"/>
        </w:rPr>
        <w:t>(二)分项绩效目标</w:t>
      </w:r>
    </w:p>
    <w:p>
      <w:pPr>
        <w:spacing w:line="580" w:lineRule="exact"/>
        <w:ind w:firstLine="720" w:firstLineChars="225"/>
        <w:rPr>
          <w:rFonts w:ascii="楷体" w:hAnsi="楷体" w:eastAsia="楷体"/>
          <w:sz w:val="32"/>
          <w:szCs w:val="32"/>
        </w:rPr>
      </w:pPr>
      <w:r>
        <w:rPr>
          <w:rFonts w:hint="eastAsia" w:ascii="仿宋" w:hAnsi="仿宋" w:eastAsia="仿宋"/>
          <w:sz w:val="32"/>
          <w:szCs w:val="32"/>
        </w:rPr>
        <w:t>1、案件审判管理和执行</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妥善审理经济转型过程中引发的各类矛盾纠纷，依法维护国家安全和社会稳定，严惩各类严重刑事犯罪，积极推进平安我区建设，营造良好的法治环境。依法惩治刑事犯罪，监督行政机关依法行政，促进社会和谐，维护社会稳定，服务全区工作大局，发挥服务保障职能。积极推进执行工作，切实保障群众合法权益，维护社会公平正义。完善审判质效评估体系，促进审判质效、健全司法权力运行机制，提升司法公信力。为案件审判提供技术支撑，提高办案质量。</w:t>
      </w:r>
    </w:p>
    <w:p>
      <w:pPr>
        <w:spacing w:line="580" w:lineRule="exact"/>
        <w:ind w:firstLine="720" w:firstLineChars="225"/>
        <w:rPr>
          <w:rFonts w:ascii="仿宋" w:hAnsi="仿宋" w:eastAsia="仿宋"/>
          <w:sz w:val="32"/>
          <w:szCs w:val="32"/>
        </w:rPr>
      </w:pPr>
      <w:r>
        <w:rPr>
          <w:rFonts w:hint="eastAsia" w:ascii="仿宋" w:hAnsi="仿宋" w:eastAsia="仿宋"/>
          <w:sz w:val="32"/>
          <w:szCs w:val="32"/>
        </w:rPr>
        <w:t>2、司法救助和国家赔偿</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改革涉诉信访工作，推动涉诉信访问题在法治轨道内解决；落实司法为民措施，保护被侵权人合法利益，促进国家机关依法行使职权。保障信访工作正常进行，提高信访案件结案率、信访受理满意度，维护国家机关的正常工作秩序，做好稳控工作。不断完善司法救助，切实保护民生，让人民群众感受到司法以人为本，享受到司法人文关怀。保护被侵害人的合法权益，促进行政机关依法行政。</w:t>
      </w:r>
    </w:p>
    <w:p>
      <w:pPr>
        <w:spacing w:line="580" w:lineRule="exact"/>
        <w:ind w:firstLine="720" w:firstLineChars="225"/>
        <w:rPr>
          <w:rFonts w:ascii="仿宋" w:hAnsi="仿宋" w:eastAsia="仿宋"/>
          <w:sz w:val="32"/>
          <w:szCs w:val="32"/>
        </w:rPr>
      </w:pPr>
      <w:r>
        <w:rPr>
          <w:rFonts w:hint="eastAsia" w:ascii="仿宋" w:hAnsi="仿宋" w:eastAsia="仿宋"/>
          <w:sz w:val="32"/>
          <w:szCs w:val="32"/>
        </w:rPr>
        <w:t>3、法院事务管理</w:t>
      </w:r>
    </w:p>
    <w:p>
      <w:pPr>
        <w:spacing w:line="520" w:lineRule="exact"/>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提高队伍素质和执法能力，高质高效完成各项工作。不断提高队伍素质和执法能力，推进信息公开，提升审判质效，改进司法工作作风，树立法院良好形象。加强法院系统队伍建设，加强法院基础设施及信息化建设，加强培训及法院文化建设；总结人民法院审判业务工作经验，建立绩效考核制度，加强对外宣传以及舆论引导，树立法院良好形象。</w:t>
      </w:r>
    </w:p>
    <w:p>
      <w:pPr>
        <w:spacing w:line="520" w:lineRule="exact"/>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工作保障措施</w:t>
      </w:r>
    </w:p>
    <w:p>
      <w:pPr>
        <w:spacing w:line="580" w:lineRule="exact"/>
        <w:ind w:firstLine="720" w:firstLineChars="225"/>
        <w:rPr>
          <w:rFonts w:ascii="仿宋" w:hAnsi="仿宋" w:eastAsia="仿宋"/>
          <w:sz w:val="32"/>
          <w:szCs w:val="32"/>
        </w:rPr>
      </w:pPr>
      <w:r>
        <w:rPr>
          <w:rFonts w:ascii="仿宋" w:hAnsi="仿宋" w:eastAsia="仿宋"/>
          <w:sz w:val="32"/>
          <w:szCs w:val="32"/>
        </w:rPr>
        <w:t>1、案件审判</w:t>
      </w:r>
    </w:p>
    <w:p>
      <w:pPr>
        <w:spacing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依法</w:t>
      </w:r>
      <w:r>
        <w:rPr>
          <w:rFonts w:hint="eastAsia" w:ascii="仿宋" w:hAnsi="仿宋" w:eastAsia="仿宋" w:cs="仿宋_GB2312"/>
          <w:sz w:val="32"/>
          <w:szCs w:val="32"/>
        </w:rPr>
        <w:t>审判刑事、民事、行政案件和上级人民法院交由审判的案件；依法审理刑事、民事、行政再审案件，人民检察院提出抗诉的案件。</w:t>
      </w:r>
    </w:p>
    <w:p>
      <w:pPr>
        <w:spacing w:line="580" w:lineRule="exact"/>
        <w:ind w:firstLine="720" w:firstLineChars="225"/>
        <w:rPr>
          <w:rFonts w:ascii="仿宋" w:hAnsi="仿宋" w:eastAsia="仿宋"/>
          <w:sz w:val="32"/>
          <w:szCs w:val="32"/>
        </w:rPr>
      </w:pPr>
      <w:r>
        <w:rPr>
          <w:rFonts w:ascii="仿宋" w:hAnsi="仿宋" w:eastAsia="仿宋"/>
          <w:sz w:val="32"/>
          <w:szCs w:val="32"/>
        </w:rPr>
        <w:t>2、案件判决执行</w:t>
      </w:r>
    </w:p>
    <w:p>
      <w:pPr>
        <w:spacing w:line="5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执行本院已经发生法律效力的法律文书和法律规定由本院执行的其他生效法律文书及委托执行案件。积极推进执行工作，切实保障群众合法权益，维护社会公平正义。</w:t>
      </w:r>
    </w:p>
    <w:p>
      <w:pPr>
        <w:spacing w:line="580" w:lineRule="exact"/>
        <w:ind w:firstLine="720" w:firstLineChars="225"/>
        <w:rPr>
          <w:rFonts w:ascii="仿宋" w:hAnsi="仿宋" w:eastAsia="仿宋"/>
          <w:sz w:val="32"/>
          <w:szCs w:val="32"/>
        </w:rPr>
      </w:pPr>
      <w:r>
        <w:rPr>
          <w:rFonts w:ascii="仿宋" w:hAnsi="仿宋" w:eastAsia="仿宋"/>
          <w:sz w:val="32"/>
          <w:szCs w:val="32"/>
        </w:rPr>
        <w:t>3、审判管理</w:t>
      </w:r>
    </w:p>
    <w:p>
      <w:pPr>
        <w:spacing w:line="5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规范、保障、促进审判执行工作，包括：案件信息管理、案件质量评估、案件质量评查、审判流程管理、审判运势分析等。完善审判质效评估体系，促进审判质效、健全司法权力运行机制，提升司法公信力。</w:t>
      </w:r>
    </w:p>
    <w:p>
      <w:pPr>
        <w:spacing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4</w:t>
      </w:r>
      <w:r>
        <w:rPr>
          <w:rFonts w:ascii="仿宋" w:hAnsi="仿宋" w:eastAsia="仿宋"/>
          <w:sz w:val="32"/>
          <w:szCs w:val="32"/>
        </w:rPr>
        <w:t>、司法技术辅助</w:t>
      </w:r>
    </w:p>
    <w:p>
      <w:pPr>
        <w:spacing w:line="5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开展司法技术辅助工作。对审判工作技术咨询、技术审核服务，主要工作包括：对外委托鉴定、评估、审计、拍卖、组织专家审核等。为案件审判提供技术支撑，提高办案质量。</w:t>
      </w:r>
    </w:p>
    <w:p>
      <w:pPr>
        <w:spacing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5、司法救助</w:t>
      </w:r>
    </w:p>
    <w:p>
      <w:pPr>
        <w:spacing w:line="5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对受到侵害但无法获得有效赔偿的当事人给予资助。不断完善司法救助，切实保护民生，让人民群众感受到司法以人为本，享受到司法人文关怀。</w:t>
      </w:r>
    </w:p>
    <w:p>
      <w:pPr>
        <w:spacing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6、国家赔偿</w:t>
      </w:r>
    </w:p>
    <w:p>
      <w:pPr>
        <w:spacing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依法</w:t>
      </w:r>
      <w:r>
        <w:rPr>
          <w:rFonts w:hint="eastAsia" w:ascii="仿宋" w:hAnsi="仿宋" w:eastAsia="仿宋" w:cs="仿宋_GB2312"/>
          <w:sz w:val="32"/>
          <w:szCs w:val="32"/>
        </w:rPr>
        <w:t>办理国家赔偿案件，执行赔偿委员会决定事项，审查处理赔偿告诉申诉案件。主要工作包括调查、取证，审理。保护被侵害人的合法权益，促进行政机关依法行政。</w:t>
      </w:r>
    </w:p>
    <w:p>
      <w:pPr>
        <w:spacing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7、综合业务管理</w:t>
      </w:r>
    </w:p>
    <w:p>
      <w:pPr>
        <w:spacing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加强法院系</w:t>
      </w:r>
      <w:r>
        <w:rPr>
          <w:rFonts w:hint="eastAsia" w:ascii="仿宋" w:hAnsi="仿宋" w:eastAsia="仿宋" w:cs="仿宋_GB2312"/>
          <w:sz w:val="32"/>
          <w:szCs w:val="32"/>
        </w:rPr>
        <w:t>统队伍建设，加</w:t>
      </w:r>
      <w:r>
        <w:rPr>
          <w:rFonts w:ascii="仿宋" w:hAnsi="仿宋" w:eastAsia="仿宋" w:cs="仿宋_GB2312"/>
          <w:sz w:val="32"/>
          <w:szCs w:val="32"/>
        </w:rPr>
        <w:t>强法院基</w:t>
      </w:r>
      <w:r>
        <w:rPr>
          <w:rFonts w:hint="eastAsia" w:ascii="仿宋" w:hAnsi="仿宋" w:eastAsia="仿宋" w:cs="仿宋_GB2312"/>
          <w:sz w:val="32"/>
          <w:szCs w:val="32"/>
        </w:rPr>
        <w:t>础设施及信息化建设，加强培训及法院文化建设；总结人民法院审判业务工作经验，建立绩效考核制度，加强对外宣传以及舆论引导，树立法院良好形象。</w:t>
      </w:r>
    </w:p>
    <w:p>
      <w:pPr>
        <w:spacing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8、综合事务管理</w:t>
      </w:r>
    </w:p>
    <w:p>
      <w:pPr>
        <w:spacing w:line="50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做好全</w:t>
      </w:r>
      <w:r>
        <w:rPr>
          <w:rFonts w:hint="eastAsia" w:ascii="仿宋" w:hAnsi="仿宋" w:eastAsia="仿宋" w:cs="仿宋_GB2312"/>
          <w:sz w:val="32"/>
          <w:szCs w:val="32"/>
        </w:rPr>
        <w:t>区人民法院的监察工作；管理全区法院司法行政工作；承办其它应由区人民法院负责的工作。高质高效完成年度各项工作。</w:t>
      </w:r>
    </w:p>
    <w:p>
      <w:pPr>
        <w:spacing w:line="500" w:lineRule="exact"/>
        <w:ind w:firstLine="640" w:firstLineChars="200"/>
        <w:jc w:val="left"/>
        <w:rPr>
          <w:rFonts w:ascii="仿宋" w:hAnsi="仿宋" w:eastAsia="仿宋" w:cs="仿宋_GB2312"/>
          <w:sz w:val="32"/>
          <w:szCs w:val="32"/>
        </w:rPr>
      </w:pPr>
    </w:p>
    <w:p>
      <w:pPr>
        <w:spacing w:line="500" w:lineRule="exact"/>
        <w:ind w:firstLine="640" w:firstLineChars="200"/>
        <w:jc w:val="left"/>
        <w:rPr>
          <w:rFonts w:ascii="仿宋" w:hAnsi="仿宋" w:eastAsia="仿宋" w:cs="仿宋_GB2312"/>
          <w:sz w:val="32"/>
          <w:szCs w:val="32"/>
        </w:rPr>
      </w:pPr>
    </w:p>
    <w:p>
      <w:pPr>
        <w:spacing w:line="500" w:lineRule="exact"/>
        <w:ind w:firstLine="640" w:firstLineChars="200"/>
        <w:jc w:val="left"/>
        <w:rPr>
          <w:rFonts w:ascii="仿宋" w:hAnsi="仿宋" w:eastAsia="仿宋" w:cs="仿宋_GB2312"/>
          <w:sz w:val="32"/>
          <w:szCs w:val="32"/>
        </w:rPr>
      </w:pPr>
    </w:p>
    <w:p>
      <w:pPr>
        <w:spacing w:line="500" w:lineRule="exact"/>
        <w:ind w:firstLine="640" w:firstLineChars="200"/>
        <w:jc w:val="left"/>
        <w:rPr>
          <w:rFonts w:ascii="仿宋" w:hAnsi="仿宋" w:eastAsia="仿宋" w:cs="仿宋_GB2312"/>
          <w:sz w:val="32"/>
          <w:szCs w:val="32"/>
        </w:rPr>
      </w:pPr>
    </w:p>
    <w:p>
      <w:pPr>
        <w:spacing w:line="500" w:lineRule="exact"/>
        <w:ind w:firstLine="640" w:firstLineChars="200"/>
        <w:jc w:val="left"/>
        <w:rPr>
          <w:rFonts w:ascii="仿宋" w:hAnsi="仿宋" w:eastAsia="仿宋" w:cs="仿宋_GB2312"/>
          <w:sz w:val="32"/>
          <w:szCs w:val="32"/>
        </w:rPr>
      </w:pPr>
    </w:p>
    <w:p>
      <w:pPr>
        <w:spacing w:line="500" w:lineRule="exact"/>
        <w:ind w:firstLine="640" w:firstLineChars="200"/>
        <w:jc w:val="left"/>
        <w:rPr>
          <w:rFonts w:ascii="仿宋" w:hAnsi="仿宋" w:eastAsia="仿宋" w:cs="仿宋_GB2312"/>
          <w:sz w:val="32"/>
          <w:szCs w:val="32"/>
        </w:rPr>
      </w:pPr>
    </w:p>
    <w:p>
      <w:pPr>
        <w:spacing w:line="500" w:lineRule="exact"/>
        <w:ind w:firstLine="640" w:firstLineChars="200"/>
        <w:jc w:val="left"/>
        <w:rPr>
          <w:rFonts w:hint="eastAsia" w:ascii="仿宋" w:hAnsi="仿宋" w:eastAsia="仿宋" w:cs="仿宋_GB2312"/>
          <w:sz w:val="32"/>
          <w:szCs w:val="32"/>
        </w:rPr>
      </w:pPr>
    </w:p>
    <w:p>
      <w:pPr>
        <w:rPr>
          <w:rFonts w:eastAsiaTheme="minorEastAsia"/>
        </w:rPr>
      </w:pPr>
      <w:bookmarkStart w:id="1" w:name="_Toc479151187"/>
      <w:r>
        <w:rPr>
          <w:rFonts w:hint="eastAsia" w:ascii="方正小标宋_GBK" w:eastAsia="方正小标宋_GBK"/>
          <w:sz w:val="32"/>
          <w:szCs w:val="32"/>
        </w:rPr>
        <w:t>二、预算项目绩效目标</w:t>
      </w:r>
    </w:p>
    <w:bookmarkEnd w:id="1"/>
    <w:p>
      <w:pPr>
        <w:ind w:firstLine="560" w:firstLineChars="200"/>
        <w:jc w:val="left"/>
        <w:outlineLvl w:val="1"/>
        <w:rPr>
          <w:rFonts w:hAnsi="宋体"/>
          <w:b/>
          <w:sz w:val="28"/>
        </w:rPr>
      </w:pPr>
      <w:r>
        <w:rPr>
          <w:rFonts w:hint="eastAsia" w:ascii="方正仿宋_GBK" w:eastAsia="方正仿宋_GBK"/>
          <w:b/>
          <w:sz w:val="28"/>
        </w:rPr>
        <w:t>1、（调节基金）法院办案资金（保财行[2019]10号）绩效目标表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204287"/>
      <w:r>
        <w:rPr>
          <w:rFonts w:hint="eastAsia" w:ascii="方正仿宋_GBK" w:eastAsia="方正仿宋_GBK"/>
          <w:b/>
          <w:sz w:val="28"/>
        </w:rPr>
        <w:instrText xml:space="preserve">1、（调节基金）法院办案资金（保财行[2019]10号）绩效目标表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161002</w:t>
            </w:r>
            <w:r>
              <w:rPr>
                <w:rFonts w:hint="eastAsia" w:ascii="方正书宋_GBK" w:eastAsia="方正书宋_GBK"/>
                <w:b/>
              </w:rPr>
              <w:t>清苑区人民法院（机关）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161-0401-JZN-HITU</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（调节基金）法院办案资金（保财行</w:t>
            </w:r>
            <w:r>
              <w:rPr>
                <w:rFonts w:ascii="方正书宋_GBK" w:eastAsia="方正书宋_GBK"/>
              </w:rPr>
              <w:t>[2019]10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法院</w:t>
            </w:r>
            <w:r>
              <w:rPr>
                <w:rFonts w:ascii="方正书宋_GBK" w:eastAsia="方正书宋_GBK"/>
              </w:rPr>
              <w:t>2019</w:t>
            </w:r>
            <w:r>
              <w:rPr>
                <w:rFonts w:hint="eastAsia" w:ascii="方正书宋_GBK" w:eastAsia="方正书宋_GBK"/>
              </w:rPr>
              <w:t>年为满足审判诉讼需求，</w:t>
            </w:r>
            <w:r>
              <w:rPr>
                <w:rFonts w:ascii="方正书宋_GBK" w:eastAsia="方正书宋_GBK"/>
              </w:rPr>
              <w:t>2020</w:t>
            </w:r>
            <w:r>
              <w:rPr>
                <w:rFonts w:hint="eastAsia" w:ascii="方正书宋_GBK" w:eastAsia="方正书宋_GBK"/>
              </w:rPr>
              <w:t>年公车运行维护经费需要</w:t>
            </w:r>
            <w:r>
              <w:rPr>
                <w:rFonts w:ascii="方正书宋_GBK" w:eastAsia="方正书宋_GBK"/>
              </w:rPr>
              <w:t>38</w:t>
            </w:r>
            <w:r>
              <w:rPr>
                <w:rFonts w:hint="eastAsia" w:ascii="方正书宋_GBK" w:eastAsia="方正书宋_GBK"/>
              </w:rPr>
              <w:t>万，差旅费</w:t>
            </w:r>
            <w:r>
              <w:rPr>
                <w:rFonts w:ascii="方正书宋_GBK" w:eastAsia="方正书宋_GBK"/>
              </w:rPr>
              <w:t>2</w:t>
            </w:r>
            <w:r>
              <w:rPr>
                <w:rFonts w:hint="eastAsia" w:ascii="方正书宋_GBK" w:eastAsia="方正书宋_GBK"/>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、法院</w:t>
            </w:r>
            <w:r>
              <w:rPr>
                <w:rFonts w:ascii="方正书宋_GBK" w:eastAsia="方正书宋_GBK"/>
              </w:rPr>
              <w:t>2019</w:t>
            </w:r>
            <w:r>
              <w:rPr>
                <w:rFonts w:hint="eastAsia" w:ascii="方正书宋_GBK" w:eastAsia="方正书宋_GBK"/>
              </w:rPr>
              <w:t>年为满足审判诉讼需求，</w:t>
            </w:r>
            <w:r>
              <w:rPr>
                <w:rFonts w:ascii="方正书宋_GBK" w:eastAsia="方正书宋_GBK"/>
              </w:rPr>
              <w:t>2020</w:t>
            </w:r>
            <w:r>
              <w:rPr>
                <w:rFonts w:hint="eastAsia" w:ascii="方正书宋_GBK" w:eastAsia="方正书宋_GBK"/>
              </w:rPr>
              <w:t>年公车运行维护经费需要</w:t>
            </w:r>
            <w:r>
              <w:rPr>
                <w:rFonts w:ascii="方正书宋_GBK" w:eastAsia="方正书宋_GBK"/>
              </w:rPr>
              <w:t>38</w:t>
            </w:r>
            <w:r>
              <w:rPr>
                <w:rFonts w:hint="eastAsia" w:ascii="方正书宋_GBK" w:eastAsia="方正书宋_GBK"/>
              </w:rPr>
              <w:t>万，差旅费</w:t>
            </w:r>
            <w:r>
              <w:rPr>
                <w:rFonts w:ascii="方正书宋_GBK" w:eastAsia="方正书宋_GBK"/>
              </w:rPr>
              <w:t>2</w:t>
            </w:r>
            <w:r>
              <w:rPr>
                <w:rFonts w:hint="eastAsia" w:ascii="方正书宋_GBK" w:eastAsia="方正书宋_GBK"/>
              </w:rPr>
              <w:t>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、法院</w:t>
            </w:r>
            <w:r>
              <w:rPr>
                <w:rFonts w:ascii="方正书宋_GBK" w:eastAsia="方正书宋_GBK"/>
              </w:rPr>
              <w:t>2019</w:t>
            </w:r>
            <w:r>
              <w:rPr>
                <w:rFonts w:hint="eastAsia" w:ascii="方正书宋_GBK" w:eastAsia="方正书宋_GBK"/>
              </w:rPr>
              <w:t>年为满足审判诉讼需求，</w:t>
            </w:r>
            <w:r>
              <w:rPr>
                <w:rFonts w:ascii="方正书宋_GBK" w:eastAsia="方正书宋_GBK"/>
              </w:rPr>
              <w:t>2020</w:t>
            </w:r>
            <w:r>
              <w:rPr>
                <w:rFonts w:hint="eastAsia" w:ascii="方正书宋_GBK" w:eastAsia="方正书宋_GBK"/>
              </w:rPr>
              <w:t>年公车运行维护经费需要</w:t>
            </w:r>
            <w:r>
              <w:rPr>
                <w:rFonts w:ascii="方正书宋_GBK" w:eastAsia="方正书宋_GBK"/>
              </w:rPr>
              <w:t>38</w:t>
            </w:r>
            <w:r>
              <w:rPr>
                <w:rFonts w:hint="eastAsia" w:ascii="方正书宋_GBK" w:eastAsia="方正书宋_GBK"/>
              </w:rPr>
              <w:t>万，差旅费</w:t>
            </w:r>
            <w:r>
              <w:rPr>
                <w:rFonts w:ascii="方正书宋_GBK" w:eastAsia="方正书宋_GBK"/>
              </w:rPr>
              <w:t>2</w:t>
            </w:r>
            <w:r>
              <w:rPr>
                <w:rFonts w:hint="eastAsia" w:ascii="方正书宋_GBK" w:eastAsia="方正书宋_GBK"/>
              </w:rPr>
              <w:t>万。</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法院结案率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法院结案数占受理案件总数的比例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法院结案数占受理案件总数的比例达到</w:t>
            </w:r>
            <w:r>
              <w:rPr>
                <w:rFonts w:ascii="方正书宋_GBK" w:eastAsia="方正书宋_GBK"/>
              </w:rPr>
              <w:t>95%</w:t>
            </w:r>
            <w:r>
              <w:rPr>
                <w:rFonts w:hint="eastAsia" w:ascii="方正书宋_GBK" w:eastAsia="方正书宋_GBK"/>
              </w:rPr>
              <w:t>以上（包含</w:t>
            </w:r>
            <w:r>
              <w:rPr>
                <w:rFonts w:ascii="方正书宋_GBK" w:eastAsia="方正书宋_GBK"/>
              </w:rPr>
              <w:t>95%</w:t>
            </w:r>
            <w:r>
              <w:rPr>
                <w:rFonts w:hint="eastAsia" w:ascii="方正书宋_GBK" w:eastAsia="方正书宋_GBK"/>
              </w:rPr>
              <w:t>）为优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法院</w:t>
            </w:r>
            <w:r>
              <w:rPr>
                <w:rFonts w:ascii="方正书宋_GBK" w:eastAsia="方正书宋_GBK"/>
              </w:rPr>
              <w:t>2020</w:t>
            </w:r>
            <w:r>
              <w:rPr>
                <w:rFonts w:hint="eastAsia" w:ascii="方正书宋_GBK" w:eastAsia="方正书宋_GBK"/>
              </w:rPr>
              <w:t>年度案件结案率</w:t>
            </w:r>
            <w:r>
              <w:rPr>
                <w:rFonts w:ascii="方正书宋_GBK" w:eastAsia="方正书宋_GBK"/>
              </w:rPr>
              <w:t>=</w:t>
            </w:r>
            <w:r>
              <w:rPr>
                <w:rFonts w:hint="eastAsia" w:ascii="方正书宋_GBK" w:eastAsia="方正书宋_GBK"/>
              </w:rPr>
              <w:t>法院结案数占受理案件总数的比例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案件审限合格率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通过实施计划提高案件在规定时间内的审限结案率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法院案件审限结案数占受理案件总数的比例达到</w:t>
            </w:r>
            <w:r>
              <w:rPr>
                <w:rFonts w:ascii="方正书宋_GBK" w:eastAsia="方正书宋_GBK"/>
              </w:rPr>
              <w:t>90%</w:t>
            </w:r>
            <w:r>
              <w:rPr>
                <w:rFonts w:hint="eastAsia" w:ascii="方正书宋_GBK" w:eastAsia="方正书宋_GBK"/>
              </w:rPr>
              <w:t>以上（包含</w:t>
            </w:r>
            <w:r>
              <w:rPr>
                <w:rFonts w:ascii="方正书宋_GBK" w:eastAsia="方正书宋_GBK"/>
              </w:rPr>
              <w:t>90%</w:t>
            </w:r>
            <w:r>
              <w:rPr>
                <w:rFonts w:hint="eastAsia" w:ascii="方正书宋_GBK" w:eastAsia="方正书宋_GBK"/>
              </w:rPr>
              <w:t>）为优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法院</w:t>
            </w:r>
            <w:r>
              <w:rPr>
                <w:rFonts w:ascii="方正书宋_GBK" w:eastAsia="方正书宋_GBK"/>
              </w:rPr>
              <w:t>2020</w:t>
            </w:r>
            <w:r>
              <w:rPr>
                <w:rFonts w:hint="eastAsia" w:ascii="方正书宋_GBK" w:eastAsia="方正书宋_GBK"/>
              </w:rPr>
              <w:t>年度案件审限结案率</w:t>
            </w:r>
            <w:r>
              <w:rPr>
                <w:rFonts w:ascii="方正书宋_GBK" w:eastAsia="方正书宋_GBK"/>
              </w:rPr>
              <w:t>=</w:t>
            </w:r>
            <w:r>
              <w:rPr>
                <w:rFonts w:hint="eastAsia" w:ascii="方正书宋_GBK" w:eastAsia="方正书宋_GBK"/>
              </w:rPr>
              <w:t>法院按规定审限结案数占受理案件总数的比例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法院办案人员满意人数占服务总人数的比例</w:t>
            </w:r>
            <w:r>
              <w:rPr>
                <w:rFonts w:ascii="方正书宋_GBK" w:eastAsia="方正书宋_GBK"/>
              </w:rPr>
              <w:t xml:space="preserve">  </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法院办案人员使用相关邮电费业务时对整体效果的满意度</w:t>
            </w:r>
            <w:r>
              <w:rPr>
                <w:rFonts w:ascii="方正书宋_GBK" w:eastAsia="方正书宋_GBK"/>
              </w:rPr>
              <w:t xml:space="preserve">  </w:t>
            </w:r>
          </w:p>
        </w:tc>
        <w:tc>
          <w:tcPr>
            <w:tcW w:w="1701"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工作方案或问卷调查</w:t>
            </w:r>
          </w:p>
        </w:tc>
      </w:tr>
    </w:tbl>
    <w:p>
      <w:pPr>
        <w:spacing w:line="580" w:lineRule="exact"/>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spacing w:line="580" w:lineRule="exact"/>
        <w:jc w:val="center"/>
        <w:outlineLvl w:val="0"/>
        <w:rPr>
          <w:rFonts w:ascii="黑体" w:hAnsi="黑体" w:eastAsia="黑体"/>
          <w:sz w:val="32"/>
          <w:szCs w:val="32"/>
        </w:rPr>
      </w:pPr>
    </w:p>
    <w:p>
      <w:pPr>
        <w:spacing w:line="580" w:lineRule="exact"/>
        <w:ind w:firstLine="640" w:firstLineChars="200"/>
        <w:outlineLvl w:val="0"/>
        <w:rPr>
          <w:rFonts w:ascii="仿宋" w:hAnsi="仿宋" w:eastAsia="仿宋"/>
          <w:sz w:val="32"/>
          <w:szCs w:val="24"/>
        </w:rPr>
      </w:pPr>
      <w:r>
        <w:rPr>
          <w:rFonts w:hint="eastAsia" w:ascii="仿宋" w:hAnsi="仿宋" w:eastAsia="仿宋"/>
          <w:sz w:val="32"/>
          <w:szCs w:val="24"/>
        </w:rPr>
        <w:t>2020年，我部门无政府采购预算。</w:t>
      </w:r>
    </w:p>
    <w:p>
      <w:pPr>
        <w:spacing w:line="580" w:lineRule="exact"/>
        <w:ind w:firstLine="640" w:firstLineChars="200"/>
        <w:outlineLvl w:val="0"/>
        <w:rPr>
          <w:rFonts w:ascii="仿宋" w:hAnsi="仿宋" w:eastAsia="仿宋"/>
          <w:sz w:val="32"/>
          <w:szCs w:val="24"/>
        </w:rPr>
      </w:pPr>
    </w:p>
    <w:p>
      <w:pPr>
        <w:spacing w:line="580" w:lineRule="exact"/>
        <w:jc w:val="center"/>
        <w:rPr>
          <w:rFonts w:ascii="黑体" w:hAnsi="黑体" w:eastAsia="黑体"/>
          <w:sz w:val="32"/>
          <w:szCs w:val="32"/>
        </w:rPr>
      </w:pPr>
      <w:r>
        <w:rPr>
          <w:rFonts w:hint="eastAsia" w:ascii="黑体" w:hAnsi="黑体" w:eastAsia="黑体"/>
          <w:sz w:val="32"/>
          <w:szCs w:val="32"/>
        </w:rPr>
        <w:t>第七部分：国有资产信息情况说明</w:t>
      </w:r>
    </w:p>
    <w:p>
      <w:pPr>
        <w:spacing w:line="580" w:lineRule="exact"/>
        <w:jc w:val="center"/>
        <w:rPr>
          <w:rFonts w:ascii="黑体" w:hAnsi="黑体" w:eastAsia="黑体"/>
          <w:sz w:val="32"/>
          <w:szCs w:val="32"/>
        </w:rPr>
      </w:pPr>
    </w:p>
    <w:p>
      <w:pPr>
        <w:spacing w:line="52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保定市清苑区人民法院2019年末固定资产总值余</w:t>
      </w:r>
      <w:r>
        <w:rPr>
          <w:rFonts w:ascii="仿宋" w:hAnsi="仿宋" w:eastAsia="仿宋" w:cs="仿宋_GB2312"/>
          <w:sz w:val="28"/>
          <w:szCs w:val="28"/>
        </w:rPr>
        <w:t>1583.55</w:t>
      </w:r>
      <w:r>
        <w:rPr>
          <w:rFonts w:hint="eastAsia" w:ascii="仿宋" w:hAnsi="仿宋" w:eastAsia="仿宋" w:cs="仿宋_GB2312"/>
          <w:sz w:val="28"/>
          <w:szCs w:val="28"/>
        </w:rPr>
        <w:t>万元（详见下表）。2020年我部门拟购置固定资产</w:t>
      </w:r>
      <w:r>
        <w:rPr>
          <w:rFonts w:ascii="仿宋" w:hAnsi="仿宋" w:eastAsia="仿宋" w:cs="仿宋_GB2312"/>
          <w:sz w:val="28"/>
          <w:szCs w:val="28"/>
        </w:rPr>
        <w:t>200</w:t>
      </w:r>
      <w:r>
        <w:rPr>
          <w:rFonts w:hint="eastAsia" w:ascii="仿宋" w:hAnsi="仿宋" w:eastAsia="仿宋" w:cs="仿宋_GB2312"/>
          <w:sz w:val="28"/>
          <w:szCs w:val="28"/>
        </w:rPr>
        <w:t>万元。</w:t>
      </w:r>
      <w:r>
        <w:rPr>
          <w:rFonts w:hint="eastAsia" w:ascii="仿宋" w:hAnsi="仿宋" w:eastAsia="仿宋" w:cs="仿宋_GB2312"/>
          <w:sz w:val="28"/>
          <w:szCs w:val="28"/>
          <w:lang w:eastAsia="zh-CN"/>
        </w:rPr>
        <w:t>主要</w:t>
      </w:r>
      <w:r>
        <w:rPr>
          <w:rFonts w:hint="eastAsia" w:ascii="仿宋" w:hAnsi="仿宋" w:eastAsia="仿宋" w:cs="仿宋_GB2312"/>
          <w:sz w:val="28"/>
          <w:szCs w:val="28"/>
        </w:rPr>
        <w:t>为上级法院要求智慧法院设备、数字法庭设备、执行指挥中心升级设备、诉讼服务大厅系统、虚拟导诉系统、诉状一体机等设备。</w:t>
      </w:r>
      <w:bookmarkStart w:id="3" w:name="_GoBack"/>
      <w:bookmarkEnd w:id="3"/>
    </w:p>
    <w:p>
      <w:pPr>
        <w:spacing w:line="520" w:lineRule="exact"/>
        <w:ind w:firstLine="640" w:firstLineChars="200"/>
        <w:jc w:val="center"/>
        <w:rPr>
          <w:rFonts w:ascii="仿宋" w:hAnsi="仿宋" w:eastAsia="仿宋" w:cs="仿宋_GB2312"/>
          <w:sz w:val="32"/>
          <w:szCs w:val="32"/>
        </w:rPr>
      </w:pPr>
    </w:p>
    <w:tbl>
      <w:tblPr>
        <w:tblStyle w:val="8"/>
        <w:tblW w:w="8804" w:type="dxa"/>
        <w:jc w:val="center"/>
        <w:tblInd w:w="0"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675" w:hRule="atLeast"/>
          <w:jc w:val="center"/>
        </w:trPr>
        <w:tc>
          <w:tcPr>
            <w:tcW w:w="8804" w:type="dxa"/>
            <w:gridSpan w:val="3"/>
            <w:tcBorders>
              <w:top w:val="nil"/>
              <w:left w:val="nil"/>
              <w:bottom w:val="nil"/>
              <w:right w:val="nil"/>
            </w:tcBorders>
            <w:vAlign w:val="center"/>
          </w:tcPr>
          <w:p>
            <w:pPr>
              <w:spacing w:line="520" w:lineRule="exact"/>
              <w:ind w:firstLine="560" w:firstLineChars="200"/>
              <w:jc w:val="center"/>
              <w:rPr>
                <w:rFonts w:ascii="仿宋" w:hAnsi="仿宋" w:eastAsia="仿宋" w:cs="仿宋_GB2312"/>
                <w:sz w:val="32"/>
                <w:szCs w:val="32"/>
              </w:rPr>
            </w:pPr>
            <w:r>
              <w:rPr>
                <w:rFonts w:hint="eastAsia" w:ascii="仿宋" w:hAnsi="仿宋" w:eastAsia="仿宋" w:cs="仿宋_GB2312"/>
                <w:sz w:val="28"/>
                <w:szCs w:val="28"/>
              </w:rPr>
              <w:t>保定市清苑区人民法院固定资产占用情况表</w:t>
            </w:r>
          </w:p>
        </w:tc>
      </w:tr>
      <w:tr>
        <w:tblPrEx>
          <w:tblLayout w:type="fixed"/>
          <w:tblCellMar>
            <w:top w:w="0" w:type="dxa"/>
            <w:left w:w="108" w:type="dxa"/>
            <w:bottom w:w="0" w:type="dxa"/>
            <w:right w:w="108" w:type="dxa"/>
          </w:tblCellMar>
        </w:tblPrEx>
        <w:trPr>
          <w:trHeight w:val="465" w:hRule="atLeast"/>
          <w:jc w:val="center"/>
        </w:trPr>
        <w:tc>
          <w:tcPr>
            <w:tcW w:w="8804" w:type="dxa"/>
            <w:gridSpan w:val="3"/>
            <w:tcBorders>
              <w:top w:val="nil"/>
              <w:left w:val="nil"/>
              <w:bottom w:val="single" w:color="auto" w:sz="4" w:space="0"/>
              <w:right w:val="nil"/>
            </w:tcBorders>
            <w:vAlign w:val="center"/>
          </w:tcPr>
          <w:p>
            <w:pPr>
              <w:spacing w:line="52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szCs w:val="21"/>
              </w:rPr>
              <w:t>截止时间：201</w:t>
            </w:r>
            <w:r>
              <w:rPr>
                <w:rFonts w:ascii="仿宋" w:hAnsi="仿宋" w:eastAsia="仿宋" w:cs="仿宋_GB2312"/>
                <w:szCs w:val="21"/>
              </w:rPr>
              <w:t>9</w:t>
            </w:r>
            <w:r>
              <w:rPr>
                <w:rFonts w:hint="eastAsia" w:ascii="仿宋" w:hAnsi="仿宋" w:eastAsia="仿宋" w:cs="仿宋_GB2312"/>
                <w:szCs w:val="21"/>
              </w:rPr>
              <w:t>年12月31日</w:t>
            </w:r>
          </w:p>
        </w:tc>
      </w:tr>
      <w:tr>
        <w:tblPrEx>
          <w:tblLayout w:type="fixed"/>
          <w:tblCellMar>
            <w:top w:w="0" w:type="dxa"/>
            <w:left w:w="108" w:type="dxa"/>
            <w:bottom w:w="0" w:type="dxa"/>
            <w:right w:w="108" w:type="dxa"/>
          </w:tblCellMar>
        </w:tblPrEx>
        <w:trPr>
          <w:trHeight w:val="750" w:hRule="atLeast"/>
          <w:jc w:val="center"/>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价值（单位：万元）</w:t>
            </w:r>
          </w:p>
        </w:tc>
      </w:tr>
      <w:tr>
        <w:tblPrEx>
          <w:tblLayout w:type="fixed"/>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1583.55</w:t>
            </w:r>
          </w:p>
        </w:tc>
      </w:tr>
      <w:tr>
        <w:tblPrEx>
          <w:tblLayout w:type="fixed"/>
          <w:tblCellMar>
            <w:top w:w="0" w:type="dxa"/>
            <w:left w:w="108" w:type="dxa"/>
            <w:bottom w:w="0" w:type="dxa"/>
            <w:right w:w="108" w:type="dxa"/>
          </w:tblCellMar>
        </w:tblPrEx>
        <w:trPr>
          <w:trHeight w:val="483" w:hRule="atLeast"/>
          <w:jc w:val="center"/>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1、房屋（平方米）</w:t>
            </w:r>
          </w:p>
        </w:tc>
        <w:tc>
          <w:tcPr>
            <w:tcW w:w="1591"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3,570.00</w:t>
            </w:r>
          </w:p>
        </w:tc>
        <w:tc>
          <w:tcPr>
            <w:tcW w:w="34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594.86</w:t>
            </w:r>
          </w:p>
        </w:tc>
      </w:tr>
      <w:tr>
        <w:tblPrEx>
          <w:tblLayout w:type="fixed"/>
          <w:tblCellMar>
            <w:top w:w="0" w:type="dxa"/>
            <w:left w:w="108" w:type="dxa"/>
            <w:bottom w:w="0" w:type="dxa"/>
            <w:right w:w="108" w:type="dxa"/>
          </w:tblCellMar>
        </w:tblPrEx>
        <w:trPr>
          <w:trHeight w:val="419" w:hRule="atLeast"/>
          <w:jc w:val="center"/>
        </w:trPr>
        <w:tc>
          <w:tcPr>
            <w:tcW w:w="3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其中：办公用房（平方米）</w:t>
            </w:r>
          </w:p>
        </w:tc>
        <w:tc>
          <w:tcPr>
            <w:tcW w:w="1591"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2,800.00</w:t>
            </w:r>
          </w:p>
        </w:tc>
        <w:tc>
          <w:tcPr>
            <w:tcW w:w="340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559.1</w:t>
            </w:r>
            <w:r>
              <w:rPr>
                <w:rFonts w:ascii="仿宋" w:hAnsi="仿宋" w:eastAsia="仿宋" w:cs="宋体"/>
                <w:color w:val="000000"/>
                <w:kern w:val="0"/>
                <w:sz w:val="22"/>
                <w:lang w:bidi="ar"/>
              </w:rPr>
              <w:t>3</w:t>
            </w:r>
          </w:p>
        </w:tc>
      </w:tr>
      <w:tr>
        <w:tblPrEx>
          <w:tblLayout w:type="fixed"/>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2、车辆（台、辆）</w:t>
            </w:r>
          </w:p>
        </w:tc>
        <w:tc>
          <w:tcPr>
            <w:tcW w:w="1591"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28</w:t>
            </w:r>
          </w:p>
        </w:tc>
        <w:tc>
          <w:tcPr>
            <w:tcW w:w="340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230.9</w:t>
            </w:r>
            <w:r>
              <w:rPr>
                <w:rFonts w:ascii="仿宋" w:hAnsi="仿宋" w:eastAsia="仿宋" w:cs="宋体"/>
                <w:color w:val="000000"/>
                <w:kern w:val="0"/>
                <w:sz w:val="22"/>
                <w:lang w:bidi="ar"/>
              </w:rPr>
              <w:t>3</w:t>
            </w:r>
          </w:p>
        </w:tc>
      </w:tr>
      <w:tr>
        <w:tblPrEx>
          <w:tblLayout w:type="fixed"/>
          <w:tblCellMar>
            <w:top w:w="0" w:type="dxa"/>
            <w:left w:w="108" w:type="dxa"/>
            <w:bottom w:w="0" w:type="dxa"/>
            <w:right w:w="108" w:type="dxa"/>
          </w:tblCellMar>
        </w:tblPrEx>
        <w:trPr>
          <w:trHeight w:val="611" w:hRule="atLeast"/>
          <w:jc w:val="center"/>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3、单价在20万元以上的设备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0.00</w:t>
            </w:r>
          </w:p>
        </w:tc>
      </w:tr>
      <w:tr>
        <w:tblPrEx>
          <w:tblLayout w:type="fixed"/>
          <w:tblCellMar>
            <w:top w:w="0" w:type="dxa"/>
            <w:left w:w="108" w:type="dxa"/>
            <w:bottom w:w="0" w:type="dxa"/>
            <w:right w:w="108" w:type="dxa"/>
          </w:tblCellMar>
        </w:tblPrEx>
        <w:trPr>
          <w:trHeight w:val="432" w:hRule="atLeast"/>
          <w:jc w:val="center"/>
        </w:trPr>
        <w:tc>
          <w:tcPr>
            <w:tcW w:w="3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4、其他固定资产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r>
              <w:rPr>
                <w:rFonts w:ascii="宋体" w:hAnsi="宋体" w:cs="宋体"/>
                <w:color w:val="000000"/>
                <w:kern w:val="0"/>
                <w:sz w:val="24"/>
                <w:szCs w:val="24"/>
              </w:rPr>
              <w:t>757.76</w:t>
            </w:r>
          </w:p>
        </w:tc>
      </w:tr>
    </w:tbl>
    <w:p>
      <w:pPr>
        <w:spacing w:line="580" w:lineRule="exact"/>
        <w:jc w:val="center"/>
        <w:rPr>
          <w:rFonts w:ascii="黑体" w:hAnsi="黑体" w:eastAsia="黑体"/>
          <w:sz w:val="32"/>
          <w:szCs w:val="32"/>
        </w:rPr>
      </w:pPr>
    </w:p>
    <w:p>
      <w:pPr>
        <w:widowControl/>
        <w:jc w:val="left"/>
        <w:textAlignment w:val="center"/>
        <w:rPr>
          <w:rFonts w:ascii="仿宋" w:hAnsi="仿宋" w:eastAsia="仿宋" w:cs="仿宋_GB2312"/>
          <w:sz w:val="32"/>
          <w:szCs w:val="32"/>
        </w:rPr>
      </w:pPr>
    </w:p>
    <w:p>
      <w:pPr>
        <w:spacing w:line="580" w:lineRule="exact"/>
        <w:jc w:val="center"/>
        <w:rPr>
          <w:rFonts w:ascii="黑体" w:hAnsi="黑体" w:eastAsia="黑体"/>
          <w:sz w:val="32"/>
          <w:szCs w:val="32"/>
        </w:rPr>
      </w:pPr>
    </w:p>
    <w:p>
      <w:pPr>
        <w:spacing w:line="580" w:lineRule="exact"/>
        <w:jc w:val="center"/>
        <w:outlineLvl w:val="0"/>
        <w:rPr>
          <w:rFonts w:ascii="黑体" w:hAnsi="黑体" w:eastAsia="黑体"/>
          <w:sz w:val="32"/>
          <w:szCs w:val="32"/>
        </w:rPr>
      </w:pPr>
      <w:r>
        <w:rPr>
          <w:rFonts w:hint="eastAsia" w:ascii="黑体" w:hAnsi="黑体" w:eastAsia="黑体"/>
          <w:sz w:val="32"/>
          <w:szCs w:val="32"/>
        </w:rPr>
        <w:t>第八部分：名词解释</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1、财政拨款收入：指市级财政当年拨付的资金。</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2、事业收入：指事业单位开展专业业务活动及辅助活动所取得的收入。　　　　　　</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3、其他收入：指除上述“财政拨款收入”、“事业收入”等以外的收入。</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4、基本支出：指为保障机构正常运转、完成日常工作任务而发生的人员支出和公用支出。</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5、项目支出：指在基本支出之外为完成特定行政任务和事业发展目标所发生的支出。</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6、“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7、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firstLineChars="200"/>
        <w:jc w:val="left"/>
        <w:outlineLvl w:val="0"/>
        <w:rPr>
          <w:rFonts w:ascii="仿宋" w:hAnsi="仿宋" w:eastAsia="仿宋"/>
          <w:sz w:val="32"/>
          <w:szCs w:val="24"/>
        </w:rPr>
      </w:pPr>
      <w:r>
        <w:rPr>
          <w:rFonts w:hint="eastAsia" w:ascii="仿宋" w:hAnsi="仿宋" w:eastAsia="仿宋"/>
          <w:sz w:val="32"/>
          <w:szCs w:val="24"/>
        </w:rPr>
        <w:t>8、公务费：包括办公费、水电费、邮电费、取暖费、交通费、一般会议费和物业管理费之和。</w:t>
      </w:r>
    </w:p>
    <w:p>
      <w:pPr>
        <w:spacing w:line="580" w:lineRule="exact"/>
        <w:jc w:val="center"/>
        <w:outlineLvl w:val="0"/>
        <w:rPr>
          <w:rFonts w:ascii="黑体" w:hAnsi="黑体" w:eastAsia="黑体"/>
          <w:sz w:val="32"/>
          <w:szCs w:val="32"/>
        </w:rPr>
      </w:pPr>
      <w:r>
        <w:rPr>
          <w:rFonts w:hint="eastAsia" w:ascii="黑体" w:hAnsi="黑体" w:eastAsia="黑体"/>
          <w:sz w:val="32"/>
          <w:szCs w:val="32"/>
        </w:rPr>
        <w:t>第九部分：其他需说明的事项</w:t>
      </w:r>
    </w:p>
    <w:p>
      <w:pPr>
        <w:spacing w:line="580" w:lineRule="exact"/>
        <w:ind w:firstLine="420" w:firstLineChars="200"/>
        <w:jc w:val="left"/>
        <w:outlineLvl w:val="0"/>
        <w:rPr>
          <w:rFonts w:ascii="仿宋" w:hAnsi="仿宋" w:eastAsia="仿宋"/>
          <w:sz w:val="32"/>
          <w:szCs w:val="24"/>
        </w:rPr>
      </w:pPr>
      <w:r>
        <w:rPr>
          <w:rFonts w:hint="eastAsia" w:ascii="仿宋" w:hAnsi="仿宋" w:eastAsia="仿宋"/>
        </w:rPr>
        <w:t xml:space="preserve">   </w:t>
      </w:r>
      <w:r>
        <w:rPr>
          <w:rFonts w:hint="eastAsia" w:ascii="仿宋" w:hAnsi="仿宋" w:eastAsia="仿宋"/>
          <w:sz w:val="32"/>
          <w:szCs w:val="24"/>
        </w:rPr>
        <w:t>无其他需说明的事项。</w:t>
      </w:r>
    </w:p>
    <w:sectPr>
      <w:footerReference r:id="rId7" w:type="first"/>
      <w:headerReference r:id="rId3" w:type="default"/>
      <w:footerReference r:id="rId5" w:type="default"/>
      <w:headerReference r:id="rId4" w:type="even"/>
      <w:footerReference r:id="rId6" w:type="even"/>
      <w:pgSz w:w="16838" w:h="11906" w:orient="landscape"/>
      <w:pgMar w:top="1587" w:right="2098" w:bottom="1474" w:left="1984" w:header="1247" w:footer="1417"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jc w:val="right"/>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ind w:left="210" w:leftChars="100" w:right="210" w:rightChars="100"/>
                      <w:jc w:val="right"/>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4</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ind w:left="210" w:leftChars="100" w:right="210" w:rightChars="100"/>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4</w:t>
                    </w:r>
                    <w:r>
                      <w:rPr>
                        <w:rFonts w:ascii="宋体" w:hAnsi="宋体"/>
                        <w:sz w:val="28"/>
                      </w:rP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7717F"/>
    <w:multiLevelType w:val="singleLevel"/>
    <w:tmpl w:val="3B8771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02"/>
    <w:rsid w:val="00001620"/>
    <w:rsid w:val="00003F29"/>
    <w:rsid w:val="000069AE"/>
    <w:rsid w:val="00020933"/>
    <w:rsid w:val="00025176"/>
    <w:rsid w:val="00030509"/>
    <w:rsid w:val="0007646F"/>
    <w:rsid w:val="00082FF6"/>
    <w:rsid w:val="00083257"/>
    <w:rsid w:val="00083B13"/>
    <w:rsid w:val="000849DA"/>
    <w:rsid w:val="00085995"/>
    <w:rsid w:val="0009535F"/>
    <w:rsid w:val="000A431B"/>
    <w:rsid w:val="000B3CBB"/>
    <w:rsid w:val="000B46CA"/>
    <w:rsid w:val="000F4FBD"/>
    <w:rsid w:val="000F7A56"/>
    <w:rsid w:val="000F7B32"/>
    <w:rsid w:val="00106F29"/>
    <w:rsid w:val="001134A8"/>
    <w:rsid w:val="00123C7A"/>
    <w:rsid w:val="00143F45"/>
    <w:rsid w:val="00152B0F"/>
    <w:rsid w:val="00152B72"/>
    <w:rsid w:val="00162DFA"/>
    <w:rsid w:val="0018238D"/>
    <w:rsid w:val="00185F02"/>
    <w:rsid w:val="001B7159"/>
    <w:rsid w:val="001C59BD"/>
    <w:rsid w:val="001F6F6B"/>
    <w:rsid w:val="00207A39"/>
    <w:rsid w:val="00214E57"/>
    <w:rsid w:val="00217054"/>
    <w:rsid w:val="002238F3"/>
    <w:rsid w:val="00227BE9"/>
    <w:rsid w:val="00273E92"/>
    <w:rsid w:val="00297CC5"/>
    <w:rsid w:val="002B2A5D"/>
    <w:rsid w:val="002C63C8"/>
    <w:rsid w:val="002C7965"/>
    <w:rsid w:val="002E25C3"/>
    <w:rsid w:val="0030065B"/>
    <w:rsid w:val="00314105"/>
    <w:rsid w:val="003164FE"/>
    <w:rsid w:val="00317E32"/>
    <w:rsid w:val="003747CD"/>
    <w:rsid w:val="003B2EC4"/>
    <w:rsid w:val="003C42E1"/>
    <w:rsid w:val="003D30A5"/>
    <w:rsid w:val="003D5F98"/>
    <w:rsid w:val="003E5777"/>
    <w:rsid w:val="00405FF7"/>
    <w:rsid w:val="00407D43"/>
    <w:rsid w:val="00430A8E"/>
    <w:rsid w:val="00440931"/>
    <w:rsid w:val="00445A39"/>
    <w:rsid w:val="004466DF"/>
    <w:rsid w:val="004602FD"/>
    <w:rsid w:val="00462E70"/>
    <w:rsid w:val="00470174"/>
    <w:rsid w:val="004705DC"/>
    <w:rsid w:val="004B5196"/>
    <w:rsid w:val="004C780A"/>
    <w:rsid w:val="004F72E0"/>
    <w:rsid w:val="00541807"/>
    <w:rsid w:val="0055382F"/>
    <w:rsid w:val="00557368"/>
    <w:rsid w:val="0056585D"/>
    <w:rsid w:val="00574CC8"/>
    <w:rsid w:val="00577F05"/>
    <w:rsid w:val="00582AC9"/>
    <w:rsid w:val="005C348E"/>
    <w:rsid w:val="005D11E7"/>
    <w:rsid w:val="005D3A0F"/>
    <w:rsid w:val="005E002E"/>
    <w:rsid w:val="005E1AFE"/>
    <w:rsid w:val="005E53ED"/>
    <w:rsid w:val="005F303A"/>
    <w:rsid w:val="005F4689"/>
    <w:rsid w:val="005F476A"/>
    <w:rsid w:val="0060726B"/>
    <w:rsid w:val="00631012"/>
    <w:rsid w:val="00640AF1"/>
    <w:rsid w:val="00645F4F"/>
    <w:rsid w:val="00654475"/>
    <w:rsid w:val="006703AD"/>
    <w:rsid w:val="006767D0"/>
    <w:rsid w:val="00683565"/>
    <w:rsid w:val="006C50ED"/>
    <w:rsid w:val="006D507C"/>
    <w:rsid w:val="006F40D7"/>
    <w:rsid w:val="0070456E"/>
    <w:rsid w:val="00720F70"/>
    <w:rsid w:val="00725E65"/>
    <w:rsid w:val="0074201A"/>
    <w:rsid w:val="007503E7"/>
    <w:rsid w:val="00751EE3"/>
    <w:rsid w:val="00774593"/>
    <w:rsid w:val="00776657"/>
    <w:rsid w:val="00783241"/>
    <w:rsid w:val="00790753"/>
    <w:rsid w:val="0079152D"/>
    <w:rsid w:val="00794E6B"/>
    <w:rsid w:val="007B6CC4"/>
    <w:rsid w:val="007F15AA"/>
    <w:rsid w:val="0080634E"/>
    <w:rsid w:val="00836C94"/>
    <w:rsid w:val="008557C8"/>
    <w:rsid w:val="00862C36"/>
    <w:rsid w:val="00882F52"/>
    <w:rsid w:val="00886C88"/>
    <w:rsid w:val="008B3A7A"/>
    <w:rsid w:val="008B6603"/>
    <w:rsid w:val="008C3865"/>
    <w:rsid w:val="008F14A4"/>
    <w:rsid w:val="008F7F64"/>
    <w:rsid w:val="0090409E"/>
    <w:rsid w:val="009145B9"/>
    <w:rsid w:val="00921060"/>
    <w:rsid w:val="009268AD"/>
    <w:rsid w:val="00926ACE"/>
    <w:rsid w:val="00933B9F"/>
    <w:rsid w:val="00933FA0"/>
    <w:rsid w:val="0093583A"/>
    <w:rsid w:val="00941097"/>
    <w:rsid w:val="0094497C"/>
    <w:rsid w:val="009530B9"/>
    <w:rsid w:val="0095681E"/>
    <w:rsid w:val="00967C7B"/>
    <w:rsid w:val="00981677"/>
    <w:rsid w:val="009920F2"/>
    <w:rsid w:val="009B2725"/>
    <w:rsid w:val="009B5738"/>
    <w:rsid w:val="009B7EEF"/>
    <w:rsid w:val="009C11CB"/>
    <w:rsid w:val="009C55C6"/>
    <w:rsid w:val="009D70CA"/>
    <w:rsid w:val="009E17D1"/>
    <w:rsid w:val="00A1704A"/>
    <w:rsid w:val="00A3491E"/>
    <w:rsid w:val="00A41989"/>
    <w:rsid w:val="00A60320"/>
    <w:rsid w:val="00A606B8"/>
    <w:rsid w:val="00AB0531"/>
    <w:rsid w:val="00AB2B66"/>
    <w:rsid w:val="00AD42DE"/>
    <w:rsid w:val="00AE3053"/>
    <w:rsid w:val="00B05DE7"/>
    <w:rsid w:val="00B10224"/>
    <w:rsid w:val="00B17786"/>
    <w:rsid w:val="00B204B9"/>
    <w:rsid w:val="00B24266"/>
    <w:rsid w:val="00B31CD6"/>
    <w:rsid w:val="00B45605"/>
    <w:rsid w:val="00B72F86"/>
    <w:rsid w:val="00B81DB1"/>
    <w:rsid w:val="00B929D9"/>
    <w:rsid w:val="00BA2A5D"/>
    <w:rsid w:val="00BA2E5B"/>
    <w:rsid w:val="00BA41E5"/>
    <w:rsid w:val="00BE662F"/>
    <w:rsid w:val="00C03387"/>
    <w:rsid w:val="00C125D7"/>
    <w:rsid w:val="00C2489C"/>
    <w:rsid w:val="00C25440"/>
    <w:rsid w:val="00C25D6C"/>
    <w:rsid w:val="00C43C08"/>
    <w:rsid w:val="00C461C8"/>
    <w:rsid w:val="00C52464"/>
    <w:rsid w:val="00C53AAC"/>
    <w:rsid w:val="00C60F72"/>
    <w:rsid w:val="00C83D00"/>
    <w:rsid w:val="00C91CE3"/>
    <w:rsid w:val="00CA59C7"/>
    <w:rsid w:val="00CB21AF"/>
    <w:rsid w:val="00CD3C65"/>
    <w:rsid w:val="00D70A0C"/>
    <w:rsid w:val="00D74A2E"/>
    <w:rsid w:val="00D751A5"/>
    <w:rsid w:val="00D802E5"/>
    <w:rsid w:val="00D8310D"/>
    <w:rsid w:val="00D92343"/>
    <w:rsid w:val="00DA4A43"/>
    <w:rsid w:val="00DB4EDD"/>
    <w:rsid w:val="00DB6B97"/>
    <w:rsid w:val="00DD604D"/>
    <w:rsid w:val="00DF5589"/>
    <w:rsid w:val="00E235BB"/>
    <w:rsid w:val="00E272C6"/>
    <w:rsid w:val="00E27C05"/>
    <w:rsid w:val="00E303F0"/>
    <w:rsid w:val="00E62414"/>
    <w:rsid w:val="00E941EB"/>
    <w:rsid w:val="00EE3253"/>
    <w:rsid w:val="00EE3EBF"/>
    <w:rsid w:val="00EF64B9"/>
    <w:rsid w:val="00F308CD"/>
    <w:rsid w:val="00F603BC"/>
    <w:rsid w:val="00F7112F"/>
    <w:rsid w:val="00FB3DBA"/>
    <w:rsid w:val="00FE1743"/>
    <w:rsid w:val="00FF3BB9"/>
    <w:rsid w:val="00FF4F43"/>
    <w:rsid w:val="044C4714"/>
    <w:rsid w:val="065956D5"/>
    <w:rsid w:val="12D84ABD"/>
    <w:rsid w:val="1609027B"/>
    <w:rsid w:val="22C82B9F"/>
    <w:rsid w:val="2C1319FF"/>
    <w:rsid w:val="2FC84902"/>
    <w:rsid w:val="316B0BD2"/>
    <w:rsid w:val="37850000"/>
    <w:rsid w:val="38FD0A4A"/>
    <w:rsid w:val="39F01FC0"/>
    <w:rsid w:val="40272FE5"/>
    <w:rsid w:val="461B158F"/>
    <w:rsid w:val="48D206A6"/>
    <w:rsid w:val="4F970E94"/>
    <w:rsid w:val="4FF86ADA"/>
    <w:rsid w:val="54B405A8"/>
    <w:rsid w:val="54FC4AC0"/>
    <w:rsid w:val="58373D4E"/>
    <w:rsid w:val="67E050A0"/>
    <w:rsid w:val="68C55418"/>
    <w:rsid w:val="698A047A"/>
    <w:rsid w:val="6D903E92"/>
    <w:rsid w:val="78CB661D"/>
    <w:rsid w:val="7A7651C8"/>
    <w:rsid w:val="7BEE0592"/>
    <w:rsid w:val="7CA84712"/>
    <w:rsid w:val="7DD106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日期 字符"/>
    <w:basedOn w:val="7"/>
    <w:link w:val="3"/>
    <w:semiHidden/>
    <w:qFormat/>
    <w:uiPriority w:val="99"/>
    <w:rPr>
      <w:szCs w:val="22"/>
    </w:rPr>
  </w:style>
  <w:style w:type="paragraph" w:customStyle="1" w:styleId="13">
    <w:name w:val="楷体标注"/>
    <w:basedOn w:val="1"/>
    <w:link w:val="14"/>
    <w:qFormat/>
    <w:uiPriority w:val="0"/>
    <w:pPr>
      <w:ind w:firstLine="640" w:firstLineChars="200"/>
    </w:pPr>
    <w:rPr>
      <w:rFonts w:ascii="楷体" w:hAnsi="楷体" w:eastAsia="楷体"/>
      <w:sz w:val="32"/>
      <w:szCs w:val="21"/>
    </w:rPr>
  </w:style>
  <w:style w:type="character" w:customStyle="1" w:styleId="14">
    <w:name w:val="楷体标注 Char"/>
    <w:basedOn w:val="7"/>
    <w:link w:val="13"/>
    <w:qFormat/>
    <w:uiPriority w:val="0"/>
    <w:rPr>
      <w:rFonts w:ascii="楷体" w:hAnsi="楷体" w:eastAsia="楷体"/>
      <w:sz w:val="32"/>
    </w:rPr>
  </w:style>
  <w:style w:type="paragraph" w:customStyle="1" w:styleId="15">
    <w:name w:val="黑体标注"/>
    <w:basedOn w:val="1"/>
    <w:link w:val="16"/>
    <w:qFormat/>
    <w:uiPriority w:val="0"/>
    <w:pPr>
      <w:ind w:firstLine="640" w:firstLineChars="200"/>
    </w:pPr>
    <w:rPr>
      <w:rFonts w:ascii="黑体" w:hAnsi="黑体" w:eastAsia="黑体"/>
      <w:sz w:val="32"/>
      <w:szCs w:val="21"/>
    </w:rPr>
  </w:style>
  <w:style w:type="character" w:customStyle="1" w:styleId="16">
    <w:name w:val="黑体标注 Char"/>
    <w:basedOn w:val="7"/>
    <w:link w:val="15"/>
    <w:qFormat/>
    <w:uiPriority w:val="0"/>
    <w:rPr>
      <w:rFonts w:ascii="黑体" w:hAnsi="黑体" w:eastAsia="黑体"/>
      <w:sz w:val="3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9EEFD-47A4-4E1D-A88C-2E9B8466A2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4018</Words>
  <Characters>715</Characters>
  <Lines>5</Lines>
  <Paragraphs>9</Paragraphs>
  <TotalTime>49</TotalTime>
  <ScaleCrop>false</ScaleCrop>
  <LinksUpToDate>false</LinksUpToDate>
  <CharactersWithSpaces>4724</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2020-02-27T01:07:00Z</dcterms:created>
  <dc:creator>lenovo</dc:creator>
  <cp:lastModifiedBy>lenovo</cp:lastModifiedBy>
  <dcterms:modified xsi:type="dcterms:W3CDTF">2020-03-03T08:30:58Z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