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72"/>
                                <w:szCs w:val="72"/>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72"/>
                                <w:szCs w:val="72"/>
                                <w14:shadow w14:blurRad="38100" w14:dist="22860" w14:dir="5400000" w14:sx="100000" w14:sy="100000" w14:kx="0" w14:ky="0" w14:algn="tl">
                                  <w14:srgbClr w14:val="000000">
                                    <w14:alpha w14:val="70000"/>
                                  </w14:srgbClr>
                                </w14:shadow>
                                <w14:props3d w14:extrusionH="0" w14:contourW="0" w14:prstMaterial="clear"/>
                              </w:rPr>
                              <w:t>保定市清苑区法院</w:t>
                            </w:r>
                          </w:p>
                          <w:p>
                            <w:pPr>
                              <w:widowControl/>
                              <w:spacing w:line="1200" w:lineRule="exact"/>
                              <w:jc w:val="center"/>
                              <w:rPr>
                                <w:color w:val="FDEFBE"/>
                                <w:sz w:val="72"/>
                                <w:szCs w:val="72"/>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72"/>
                                <w:szCs w:val="72"/>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M8NU2wAAAAwBAAAPAAAAAAAA&#10;AAEAIAAAACIAAABkcnMvZG93bnJldi54bWxQSwECFAAUAAAACACHTuJA3FEqAUgCAABzBAAADgAA&#10;AAAAAAABACAAAAAqAQAAZHJzL2Uyb0RvYy54bWxQSwUGAAAAAAYABgBZAQAA5A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72"/>
                          <w:szCs w:val="72"/>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72"/>
                          <w:szCs w:val="72"/>
                          <w14:shadow w14:blurRad="38100" w14:dist="22860" w14:dir="5400000" w14:sx="100000" w14:sy="100000" w14:kx="0" w14:ky="0" w14:algn="tl">
                            <w14:srgbClr w14:val="000000">
                              <w14:alpha w14:val="70000"/>
                            </w14:srgbClr>
                          </w14:shadow>
                          <w14:props3d w14:extrusionH="0" w14:contourW="0" w14:prstMaterial="clear"/>
                        </w:rPr>
                        <w:t>保定市清苑区法院</w:t>
                      </w:r>
                    </w:p>
                    <w:p>
                      <w:pPr>
                        <w:widowControl/>
                        <w:spacing w:line="1200" w:lineRule="exact"/>
                        <w:jc w:val="center"/>
                        <w:rPr>
                          <w:color w:val="FDEFBE"/>
                          <w:sz w:val="72"/>
                          <w:szCs w:val="72"/>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72"/>
                          <w:szCs w:val="72"/>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firstLine="3092" w:firstLineChars="700"/>
        <w:rPr>
          <w:rFonts w:ascii="楷体" w:hAnsi="楷体" w:eastAsia="楷体" w:cs="楷体"/>
          <w:b/>
          <w:sz w:val="44"/>
          <w:szCs w:val="44"/>
        </w:rPr>
      </w:pPr>
      <w:r>
        <w:rPr>
          <w:rFonts w:hint="eastAsia" w:ascii="楷体" w:hAnsi="楷体" w:eastAsia="楷体" w:cs="楷体"/>
          <w:b/>
          <w:sz w:val="44"/>
          <w:szCs w:val="44"/>
        </w:rPr>
        <w:t>（部门公章）</w:t>
      </w:r>
    </w:p>
    <w:p>
      <w:pPr>
        <w:widowControl/>
        <w:ind w:firstLine="2871" w:firstLineChars="650"/>
        <w:rPr>
          <w:rFonts w:ascii="楷体" w:hAnsi="楷体" w:eastAsia="楷体" w:cs="楷体"/>
          <w:b/>
          <w:sz w:val="44"/>
          <w:szCs w:val="44"/>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二〇一九年八月</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73600"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73600;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YPMNU2wAAAAsBAAAPAAAAAAAAAAEAIAAAACIAAABkcnMvZG93bnJldi54bWxQSwECFAAU&#10;AAAACACHTuJAvbfrIEQDAABACQAADgAAAAAAAAABACAAAAAq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bookmarkStart w:id="0" w:name="_GoBack"/>
      <w:bookmarkEnd w:id="0"/>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保定市清苑区人民法院</w:t>
      </w:r>
      <w:r>
        <w:rPr>
          <w:rFonts w:eastAsia="黑体"/>
          <w:sz w:val="32"/>
          <w:szCs w:val="32"/>
        </w:rPr>
        <w:t>201</w:t>
      </w:r>
      <w:r>
        <w:rPr>
          <w:rFonts w:hint="eastAsia" w:eastAsia="黑体"/>
          <w:sz w:val="32"/>
          <w:szCs w:val="32"/>
        </w:rPr>
        <w:t>8</w:t>
      </w:r>
      <w:r>
        <w:rPr>
          <w:rFonts w:eastAsia="黑体"/>
          <w:sz w:val="32"/>
          <w:szCs w:val="32"/>
        </w:rPr>
        <w:t>年</w:t>
      </w:r>
      <w:r>
        <w:rPr>
          <w:rFonts w:hint="eastAsia" w:eastAsia="黑体"/>
          <w:sz w:val="32"/>
          <w:szCs w:val="32"/>
        </w:rPr>
        <w:t>度</w:t>
      </w:r>
      <w:r>
        <w:rPr>
          <w:rFonts w:eastAsia="黑体"/>
          <w:sz w:val="32"/>
          <w:szCs w:val="32"/>
        </w:rPr>
        <w:t>部门决算情况说明</w:t>
      </w:r>
      <w:r>
        <w:rPr>
          <w:sz w:val="44"/>
        </w:rPr>
        <mc:AlternateContent>
          <mc:Choice Requires="wpg">
            <w:drawing>
              <wp:anchor distT="0" distB="0" distL="114300" distR="114300" simplePos="0" relativeHeight="251672576" behindDoc="0" locked="1" layoutInCell="1" allowOverlap="1">
                <wp:simplePos x="0" y="0"/>
                <wp:positionH relativeFrom="column">
                  <wp:posOffset>-149225</wp:posOffset>
                </wp:positionH>
                <wp:positionV relativeFrom="page">
                  <wp:posOffset>513715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75pt;margin-top:40.45pt;height:46.7pt;width:222.8pt;mso-position-vertical-relative:page;z-index:251672576;mso-width-relative:page;mso-height-relative:page;" coordorigin="4551,52615" coordsize="8546,1398" o:gfxdata="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Lku/+2wAAAAoBAAAPAAAAAAAAAAEAIAAAACIAAABkcnMvZG93bnJldi54bWxQSwECFAAU&#10;AAAACACHTuJAIRuBe0QDAABACQAADgAAAAAAAAABACAAAAAq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70528"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numPr>
                                <w:ilvl w:val="0"/>
                                <w:numId w:val="1"/>
                              </w:numPr>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 xml:space="preserve"> 部门概况</w:t>
                            </w:r>
                          </w:p>
                          <w:p>
                            <w:pPr>
                              <w:widowControl/>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IrDqd4AAAANAQAADwAAAAAAAAABACAA&#10;AAAiAAAAZHJzL2Rvd25yZXYueG1sUEsBAhQAFAAAAAgAh07iQMmkRm5AAgAAawQAAA4AAAAAAAAA&#10;AQAgAAAALQEAAGRycy9lMm9Eb2MueG1sUEsFBgAAAAAGAAYAWQEAAN8FAAAAAA==&#10;">
                <v:fill on="f" focussize="0,0"/>
                <v:stroke on="f" weight="0.5pt"/>
                <v:imagedata o:title=""/>
                <o:lock v:ext="edit" aspectratio="f"/>
                <v:textbox>
                  <w:txbxContent>
                    <w:p>
                      <w:pPr>
                        <w:widowControl/>
                        <w:numPr>
                          <w:ilvl w:val="0"/>
                          <w:numId w:val="1"/>
                        </w:numPr>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 xml:space="preserve"> 部门概况</w:t>
                      </w:r>
                    </w:p>
                    <w:p>
                      <w:pPr>
                        <w:widowControl/>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62336"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62336;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CDJ1BDbAAAACwEAAA8AAAAAAAAAAQAgAAAAIgAAAGRycy9kb3ducmV2LnhtbFBL&#10;AQIUABQAAAAIAIdO4kAfvTXUSQMAADwJAAAOAAAAAAAAAAEAIAAAACoBAABkcnMvZTJvRG9jLnht&#10;bFBLBQYAAAAABgAGAFkBAADlBg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根据中共清苑县委办公室《关于印发清苑县人民法院职能配置、内设机构和人员编制规定的通知》（清办字[2002]48号），现将我院部门概况说明如下：</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（一）依法审判法律规定的由本院管辖的刑事、民事、行政等第一审案件。</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（二）依法审判刑事、民事、行政等按照审判监督程序提起的再审案件和二审法院发还重审的案件。</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（三）依法办理发生法律效力的刑事、民事、行政的执行事项；办理法律规定由法院执行的其他法律文书的执行事项。</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（四）依法行使司法决定权</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（五）针对案件审理中发现的问题提出司法建设意见。</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（六）负责审判工作的调查研究，总结审判工作经验，工作中就适用法律、政策问题进行请示，负责全院的司法统计工作。</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（七）对本院的法官和其他工作人员进行思想政治教育，组织专业培训；协助主管部门管理机构编制工作，按照权限管理法官和其他工作人员。</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（八）管理人民法院的有关经费和物资装备</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（九）负责人民法院的司法技术鉴定工作</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（十）在审判工作中，宣传法制，指导民调工作，教育公民忠于社会主义祖国，自觉遵守宪法、法律、和社会公德。</w:t>
      </w:r>
    </w:p>
    <w:p>
      <w:pPr>
        <w:pStyle w:val="2"/>
        <w:spacing w:before="0" w:after="0" w:line="600" w:lineRule="exact"/>
        <w:jc w:val="left"/>
        <w:rPr>
          <w:rFonts w:ascii="黑体" w:eastAsia="黑体" w:cs="黑体" w:hAnsiTheme="minorHAnsi"/>
          <w:b w:val="0"/>
          <w:bCs w:val="0"/>
          <w:kern w:val="0"/>
          <w:sz w:val="32"/>
          <w:szCs w:val="32"/>
        </w:rPr>
      </w:pPr>
      <w:r>
        <w:rPr>
          <w:rFonts w:hint="eastAsia" w:ascii="仿宋" w:hAnsi="仿宋" w:eastAsia="仿宋" w:cs="仿宋_GB2312"/>
          <w:sz w:val="32"/>
          <w:szCs w:val="32"/>
        </w:rPr>
        <w:t>（十一）承办其他应由基层人民法院负责的工作。</w:t>
      </w:r>
      <w:r>
        <w:rPr>
          <w:rFonts w:hint="eastAsia" w:ascii="黑体" w:eastAsia="黑体" w:cs="黑体" w:hAnsiTheme="minorHAnsi"/>
          <w:b w:val="0"/>
          <w:bCs w:val="0"/>
          <w:kern w:val="0"/>
          <w:sz w:val="32"/>
          <w:szCs w:val="32"/>
        </w:rPr>
        <w:t>二、机构设置</w:t>
      </w:r>
    </w:p>
    <w:p>
      <w:pPr>
        <w:spacing w:after="0" w:line="560" w:lineRule="exact"/>
        <w:ind w:firstLine="640" w:firstLineChars="200"/>
        <w:rPr>
          <w:rFonts w:ascii="宋体" w:hAnsi="宋体" w:cs="宋体"/>
          <w:sz w:val="28"/>
          <w:szCs w:val="28"/>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 1个，具体情况如下：</w:t>
      </w:r>
      <w:r>
        <w:rPr>
          <w:rFonts w:ascii="宋体" w:hAnsi="宋体" w:cs="宋体"/>
          <w:sz w:val="28"/>
          <w:szCs w:val="28"/>
        </w:rPr>
        <w:t xml:space="preserve"> </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保定市清苑区人民法院</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行政单位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ab/>
            </w:r>
            <w:r>
              <w:rPr>
                <w:rFonts w:hint="eastAsia" w:ascii="仿宋" w:hAnsi="仿宋" w:eastAsia="仿宋" w:cs="仿宋_GB2312"/>
                <w:sz w:val="32"/>
                <w:szCs w:val="32"/>
              </w:rPr>
              <w:t>保定市清苑区人民法院单位性质为行政单位，经费保障形式为财政拨款。法院内设政治处、办公室、研究室、监察室、司法技术鉴定室、立案庭、民事审判第一庭、民事审判第二庭、刑事审判庭、行政审判庭、审判监督庭、执行局（庭）、司法法警大队等共13个部门；下设5个人民法庭。本法院现有编制89名，实有人数78人。</w:t>
            </w:r>
          </w:p>
          <w:p>
            <w:pPr>
              <w:spacing w:after="0" w:line="560" w:lineRule="exact"/>
              <w:ind w:firstLine="560" w:firstLineChars="200"/>
              <w:jc w:val="left"/>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5rPdDcAAAADQEAAA8AAAAAAAAAAQAgAAAAIgAA&#10;AGRycy9kb3ducmV2LnhtbFBLAQIUABQAAAAIAIdO4kAGUZfgPQIAAGkEAAAOAAAAAAAAAAEAIAAA&#10;ACsBAABkcnMvZTJvRG9jLnhtbFBLBQYAAAAABgAGAFkBAADa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p>
      <w:pPr>
        <w:widowControl/>
        <w:spacing w:line="580" w:lineRule="exact"/>
        <w:rPr>
          <w:rFonts w:eastAsia="黑体"/>
          <w:kern w:val="0"/>
          <w:sz w:val="44"/>
          <w:szCs w:val="44"/>
        </w:rPr>
      </w:pPr>
      <w:r>
        <w:rPr>
          <w:color w:val="C00000"/>
          <w:sz w:val="44"/>
        </w:rPr>
        <mc:AlternateContent>
          <mc:Choice Requires="wpg">
            <w:drawing>
              <wp:anchor distT="0" distB="0" distL="114300" distR="114300" simplePos="0" relativeHeight="251684864" behindDoc="0" locked="1" layoutInCell="1" allowOverlap="1">
                <wp:simplePos x="0" y="0"/>
                <wp:positionH relativeFrom="column">
                  <wp:posOffset>25400</wp:posOffset>
                </wp:positionH>
                <wp:positionV relativeFrom="page">
                  <wp:posOffset>665480</wp:posOffset>
                </wp:positionV>
                <wp:extent cx="3136265" cy="579755"/>
                <wp:effectExtent l="0" t="0" r="6985" b="29845"/>
                <wp:wrapNone/>
                <wp:docPr id="10" name="组合 10"/>
                <wp:cNvGraphicFramePr/>
                <a:graphic xmlns:a="http://schemas.openxmlformats.org/drawingml/2006/main">
                  <a:graphicData uri="http://schemas.microsoft.com/office/word/2010/wordprocessingGroup">
                    <wpg:wgp>
                      <wpg:cNvGrpSpPr/>
                      <wpg:grpSpPr>
                        <a:xfrm>
                          <a:off x="0" y="0"/>
                          <a:ext cx="3136265" cy="579755"/>
                          <a:chOff x="4551" y="52615"/>
                          <a:chExt cx="8546" cy="1398"/>
                        </a:xfrm>
                      </wpg:grpSpPr>
                      <wps:wsp>
                        <wps:cNvPr id="6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矩形 14"/>
                        <wps:cNvSpPr/>
                        <wps:spPr>
                          <a:xfrm>
                            <a:off x="4602" y="52963"/>
                            <a:ext cx="8299" cy="1050"/>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pt;margin-top:52.4pt;height:45.65pt;width:246.95pt;mso-position-vertical-relative:page;z-index:251684864;mso-width-relative:page;mso-height-relative:page;" coordorigin="4551,52615" coordsize="8546,1398" o:gfxdata="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0UIH1dkAAAAJAQAADwAAAAAAAAABACAAAAAiAAAAZHJzL2Rvd25yZXYueG1s&#10;UEsBAhQAFAAAAAgAh07iQPb61TZNAwAAPAkAAA4AAAAAAAAAAQAgAAAAKAEAAGRycy9lMm9Eb2Mu&#10;eG1sUEsFBgAAAAAGAAYAWQEAAOc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602;top:52963;height:1050;width:8299;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p>
    <w:p>
      <w:pPr>
        <w:widowControl/>
        <w:shd w:val="clear" w:color="auto" w:fill="FFFFFF"/>
        <w:spacing w:line="580" w:lineRule="exact"/>
        <w:ind w:firstLine="1760" w:firstLineChars="400"/>
        <w:jc w:val="left"/>
        <w:rPr>
          <w:rFonts w:eastAsia="黑体" w:cs="宋体"/>
          <w:kern w:val="0"/>
          <w:sz w:val="44"/>
          <w:szCs w:val="44"/>
        </w:rPr>
      </w:pPr>
      <w:r>
        <w:rPr>
          <w:rFonts w:eastAsia="黑体"/>
          <w:kern w:val="0"/>
          <w:sz w:val="44"/>
          <w:szCs w:val="44"/>
        </w:rPr>
        <w:t>201</w:t>
      </w:r>
      <w:r>
        <w:rPr>
          <w:rFonts w:hint="eastAsia" w:eastAsia="黑体"/>
          <w:kern w:val="0"/>
          <w:sz w:val="44"/>
          <w:szCs w:val="44"/>
        </w:rPr>
        <w:t>8</w:t>
      </w:r>
      <w:r>
        <w:rPr>
          <w:rFonts w:hint="eastAsia" w:eastAsia="黑体" w:cs="宋体"/>
          <w:kern w:val="0"/>
          <w:sz w:val="44"/>
          <w:szCs w:val="44"/>
        </w:rPr>
        <w:t>年度部门决算报表</w:t>
      </w:r>
    </w:p>
    <w:p>
      <w:pPr>
        <w:widowControl/>
        <w:shd w:val="clear" w:color="auto" w:fill="FFFFFF"/>
        <w:spacing w:line="580" w:lineRule="exact"/>
        <w:ind w:firstLine="720" w:firstLineChars="200"/>
        <w:jc w:val="left"/>
        <w:rPr>
          <w:rFonts w:eastAsia="黑体" w:cs="宋体"/>
          <w:kern w:val="0"/>
          <w:sz w:val="32"/>
          <w:szCs w:val="32"/>
        </w:rPr>
      </w:pPr>
      <w:r>
        <w:rPr>
          <w:rFonts w:hint="eastAsia" w:eastAsia="黑体" w:cs="宋体"/>
          <w:kern w:val="0"/>
          <w:sz w:val="36"/>
          <w:szCs w:val="36"/>
        </w:rPr>
        <w:t>（附部门决算公开01表-公开10表）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hd w:val="clear" w:color="auto" w:fill="FFFFFF"/>
        <w:spacing w:line="580" w:lineRule="exact"/>
        <w:ind w:left="640" w:firstLine="640" w:firstLineChars="200"/>
        <w:jc w:val="left"/>
        <w:rPr>
          <w:rFonts w:eastAsiaTheme="minorEastAsia"/>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hd w:val="clear" w:color="auto" w:fill="FFFFFF"/>
        <w:spacing w:line="580" w:lineRule="exact"/>
        <w:ind w:left="640" w:firstLine="640" w:firstLineChars="200"/>
        <w:jc w:val="left"/>
        <w:rPr>
          <w:rFonts w:ascii="宋体" w:hAnsi="宋体" w:cs="宋体"/>
          <w:kern w:val="0"/>
          <w:sz w:val="28"/>
          <w:szCs w:val="28"/>
        </w:rPr>
      </w:pPr>
      <w:r>
        <w:rPr>
          <w:rFonts w:hint="eastAsia" w:eastAsia="仿宋_GB2312"/>
          <w:sz w:val="32"/>
          <w:szCs w:val="32"/>
        </w:rPr>
        <w:t>八、</w:t>
      </w:r>
      <w:r>
        <w:rPr>
          <w:rFonts w:eastAsia="仿宋_GB2312"/>
          <w:sz w:val="32"/>
          <w:szCs w:val="32"/>
        </w:rPr>
        <w:t>政府性基金预算财政拨款收入支出决算表</w:t>
      </w:r>
      <w:r>
        <w:rPr>
          <w:rFonts w:hint="eastAsia" w:eastAsia="仿宋_GB2312"/>
          <w:sz w:val="32"/>
          <w:szCs w:val="32"/>
        </w:rPr>
        <w:t>(本部门本年度无相关收支及结转结余等情况，按要求空表列示）</w:t>
      </w:r>
    </w:p>
    <w:p>
      <w:pPr>
        <w:widowControl/>
        <w:shd w:val="clear" w:color="auto" w:fill="FFFFFF"/>
        <w:spacing w:line="580" w:lineRule="exact"/>
        <w:ind w:left="640" w:firstLine="640" w:firstLineChars="200"/>
        <w:jc w:val="left"/>
        <w:rPr>
          <w:rFonts w:eastAsiaTheme="minorEastAsia"/>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r>
        <w:rPr>
          <w:rFonts w:hint="eastAsia" w:eastAsia="仿宋_GB2312"/>
          <w:sz w:val="32"/>
          <w:szCs w:val="32"/>
        </w:rPr>
        <w:t>(本部门本年度无相关收支及结转结余等情况，按要求空表列示）</w:t>
      </w:r>
    </w:p>
    <w:p>
      <w:pPr>
        <w:widowControl/>
        <w:shd w:val="clear" w:color="auto" w:fill="FFFFFF"/>
        <w:spacing w:line="580" w:lineRule="exact"/>
        <w:ind w:left="640" w:firstLine="640" w:firstLineChars="200"/>
        <w:jc w:val="left"/>
        <w:rPr>
          <w:rFonts w:ascii="宋体" w:hAnsi="宋体" w:cs="宋体"/>
          <w:kern w:val="0"/>
          <w:sz w:val="28"/>
          <w:szCs w:val="28"/>
        </w:rPr>
      </w:pPr>
      <w:r>
        <w:rPr>
          <w:rFonts w:hint="eastAsia" w:eastAsia="仿宋_GB2312"/>
          <w:sz w:val="32"/>
          <w:szCs w:val="32"/>
        </w:rPr>
        <w:t>十</w:t>
      </w:r>
      <w:r>
        <w:rPr>
          <w:rFonts w:eastAsia="仿宋_GB2312"/>
          <w:sz w:val="32"/>
          <w:szCs w:val="32"/>
        </w:rPr>
        <w:t>、政府采购情况表</w:t>
      </w:r>
      <w:r>
        <w:rPr>
          <w:rFonts w:hint="eastAsia" w:asciiTheme="minorEastAsia" w:hAnsiTheme="minorEastAsia" w:eastAsiaTheme="minorEastAsia"/>
          <w:sz w:val="32"/>
          <w:szCs w:val="32"/>
        </w:rPr>
        <w:t>（</w:t>
      </w:r>
      <w:r>
        <w:rPr>
          <w:rFonts w:hint="eastAsia" w:eastAsia="仿宋_GB2312"/>
          <w:sz w:val="32"/>
          <w:szCs w:val="32"/>
        </w:rPr>
        <w:t>本部门本年度无预算及支出情况，按要求以空表列示</w:t>
      </w:r>
      <w:r>
        <w:rPr>
          <w:rFonts w:hint="eastAsia" w:asciiTheme="minorEastAsia" w:hAnsiTheme="minorEastAsia" w:eastAsiaTheme="minorEastAsia"/>
          <w:sz w:val="32"/>
          <w:szCs w:val="32"/>
        </w:rPr>
        <w:t>）</w:t>
      </w:r>
    </w:p>
    <w:p>
      <w:pPr>
        <w:widowControl/>
        <w:spacing w:line="580" w:lineRule="exact"/>
        <w:ind w:left="640" w:firstLine="640" w:firstLineChars="200"/>
        <w:rPr>
          <w:rFonts w:eastAsia="仿宋_GB2312"/>
          <w:sz w:val="32"/>
          <w:szCs w:val="32"/>
        </w:rPr>
      </w:pPr>
    </w:p>
    <w:p>
      <w:pPr>
        <w:widowControl/>
        <w:shd w:val="clear" w:color="auto" w:fill="FFFFFF"/>
        <w:spacing w:line="580" w:lineRule="exact"/>
        <w:ind w:left="640" w:firstLine="560" w:firstLineChars="200"/>
        <w:jc w:val="left"/>
        <w:rPr>
          <w:rFonts w:ascii="宋体" w:hAnsi="宋体" w:cs="宋体"/>
          <w:kern w:val="0"/>
          <w:sz w:val="28"/>
          <w:szCs w:val="28"/>
        </w:rPr>
      </w:pPr>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5408"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WaejN4AAAANAQAADwAAAAAAAAABACAAAAAi&#10;AAAAZHJzL2Rvd25yZXYueG1sUEsBAhQAFAAAAAgAh07iQNWXLBI9AgAAZwQAAA4AAAAAAAAAAQAg&#10;AAAALQEAAGRycy9lMm9Eb2MueG1sUEsFBgAAAAAGAAYAWQEAANw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8281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281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BJ+ys7bAAAACwEAAA8AAAAAAAAAAQAgAAAAIgAAAGRycy9kb3ducmV2LnhtbFBLAQIUABQA&#10;AAAIAIdO4kAcCE8xQwMAADwJAAAOAAAAAAAAAAEAIAAAACo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收入2,127.18万元（含结转和结余），2018年度收入与2017年度决算相比增加417.42万元，增加了24.92%，与年初预算数相比，收入增加31.96万元，增长1.6%，支出增加171.2万元，增长8.61%。收入增加的主要原因：1、2018年我单位人员工资进行了调整，人员工资待遇增加；2、我院2018年案件受理数量增加。</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本部门2018年度支出总计（含结转和结余）2127.18万元。2018年度支出</w:t>
      </w:r>
      <w:r>
        <w:rPr>
          <w:rFonts w:hint="eastAsia" w:ascii="仿宋" w:hAnsi="仿宋" w:eastAsia="仿宋" w:cs="DengXian-Regular"/>
          <w:sz w:val="32"/>
          <w:szCs w:val="32"/>
          <w:lang w:eastAsia="zh-CN"/>
        </w:rPr>
        <w:t>比</w:t>
      </w:r>
      <w:r>
        <w:rPr>
          <w:rFonts w:hint="eastAsia" w:ascii="仿宋" w:hAnsi="仿宋" w:eastAsia="仿宋" w:cs="DengXian-Regular"/>
          <w:sz w:val="32"/>
          <w:szCs w:val="32"/>
          <w:lang w:val="en-US" w:eastAsia="zh-CN"/>
        </w:rPr>
        <w:t>2017年决算</w:t>
      </w:r>
      <w:r>
        <w:rPr>
          <w:rFonts w:hint="eastAsia" w:ascii="仿宋" w:hAnsi="仿宋" w:eastAsia="仿宋" w:cs="DengXian-Regular"/>
          <w:sz w:val="32"/>
          <w:szCs w:val="32"/>
        </w:rPr>
        <w:t>增加171.2万元，增长8.61%。</w:t>
      </w:r>
      <w:r>
        <w:rPr>
          <w:rFonts w:hint="eastAsia" w:ascii="仿宋" w:hAnsi="仿宋" w:eastAsia="仿宋" w:cs="DengXian-Regular"/>
          <w:sz w:val="32"/>
          <w:szCs w:val="32"/>
          <w:lang w:eastAsia="zh-CN"/>
        </w:rPr>
        <w:t>与</w:t>
      </w:r>
      <w:r>
        <w:rPr>
          <w:rFonts w:hint="eastAsia" w:ascii="仿宋" w:hAnsi="仿宋" w:eastAsia="仿宋" w:cs="DengXian-Regular"/>
          <w:sz w:val="32"/>
          <w:szCs w:val="32"/>
          <w:lang w:val="en-US" w:eastAsia="zh-CN"/>
        </w:rPr>
        <w:t>2018年年初预算相比</w:t>
      </w:r>
      <w:r>
        <w:rPr>
          <w:rFonts w:hint="eastAsia" w:ascii="仿宋" w:hAnsi="仿宋" w:eastAsia="仿宋" w:cs="DengXian-Regular"/>
          <w:sz w:val="32"/>
          <w:szCs w:val="32"/>
        </w:rPr>
        <w:t>支出增加</w:t>
      </w:r>
      <w:r>
        <w:rPr>
          <w:rFonts w:hint="eastAsia" w:ascii="仿宋" w:hAnsi="仿宋" w:eastAsia="仿宋" w:cs="DengXian-Regular"/>
          <w:sz w:val="32"/>
          <w:szCs w:val="32"/>
          <w:lang w:val="en-US" w:eastAsia="zh-CN"/>
        </w:rPr>
        <w:t>139.24万元，增长了7.0%，增加</w:t>
      </w:r>
      <w:r>
        <w:rPr>
          <w:rFonts w:hint="eastAsia" w:ascii="仿宋" w:hAnsi="仿宋" w:eastAsia="仿宋" w:cs="DengXian-Regular"/>
          <w:sz w:val="32"/>
          <w:szCs w:val="32"/>
        </w:rPr>
        <w:t>的主要原因：1、2018年我单位人员工资进行了调整，人员工资待遇增加；2、我院2018年案件受理数量增加。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本部门2018年度本年收入合计2019.9万元，其中：财政拨款收入2091.90万元，100%；事业收入0万元，占0%；经营收入0万元，占0%；其他收入0万元，占0%。</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与2017年度决算相比增加417.42万元，增加了24.92%，</w:t>
      </w:r>
      <w:r>
        <w:rPr>
          <w:rFonts w:hint="eastAsia" w:ascii="仿宋" w:hAnsi="仿宋" w:eastAsia="仿宋" w:cs="仿宋"/>
          <w:sz w:val="30"/>
          <w:szCs w:val="30"/>
        </w:rPr>
        <w:t>与年初预算数</w:t>
      </w:r>
      <w:r>
        <w:rPr>
          <w:rFonts w:hint="eastAsia" w:ascii="仿宋" w:hAnsi="仿宋" w:eastAsia="仿宋" w:cs="DengXian-Regular"/>
          <w:sz w:val="32"/>
          <w:szCs w:val="32"/>
        </w:rPr>
        <w:t>相比，收入增加31.96万元，增长1.6%。收入增加的主要原因：1、201</w:t>
      </w:r>
      <w:r>
        <w:rPr>
          <w:rFonts w:ascii="仿宋" w:hAnsi="仿宋" w:eastAsia="仿宋" w:cs="DengXian-Regular"/>
          <w:sz w:val="32"/>
          <w:szCs w:val="32"/>
        </w:rPr>
        <w:t>8</w:t>
      </w:r>
      <w:r>
        <w:rPr>
          <w:rFonts w:hint="eastAsia" w:ascii="仿宋" w:hAnsi="仿宋" w:eastAsia="仿宋" w:cs="DengXian-Regular"/>
          <w:sz w:val="32"/>
          <w:szCs w:val="32"/>
        </w:rPr>
        <w:t>年度我单位人员工资进行了调整，人员工资待遇增加；2、我院2018年度案件受理数量增加。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本部门2018年度本年支出合计1870.45万元，其中：基本支出1,367.31万元，占73.10%；项目支出503.13万元，占26.90%。</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2018年度财政拨款支出与2017年财政拨款支出决算数相比增加了91.81万元，增加的主要原因：1、2018年我单位人员工资进行了调整，人员工资待遇增加；2、我院2018年案件受理数量增加。</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与2018年预算数减少117.49万元，减少的原因为：报废三辆公车，厉行节约，反对铺张浪费。</w:t>
      </w:r>
    </w:p>
    <w:p>
      <w:pPr>
        <w:pStyle w:val="3"/>
        <w:spacing w:before="0" w:after="0" w:line="580" w:lineRule="exact"/>
        <w:ind w:firstLine="640" w:firstLineChars="200"/>
        <w:rPr>
          <w:rFonts w:ascii="黑体" w:eastAsia="黑体"/>
          <w:b w:val="0"/>
          <w:bCs w:val="0"/>
        </w:rPr>
      </w:pPr>
      <w:r>
        <w:rPr>
          <w:rFonts w:ascii="黑体" w:eastAsia="黑体"/>
          <w:b w:val="0"/>
          <w:bCs w:val="0"/>
        </w:rPr>
        <mc:AlternateContent>
          <mc:Choice Requires="wpg">
            <w:drawing>
              <wp:anchor distT="0" distB="0" distL="114300" distR="114300" simplePos="0" relativeHeight="25167462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46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J+ys7bAAAACwEAAA8AAAAAAAAAAQAgAAAAIgAAAGRycy9kb3ducmV2LnhtbFBLAQIUABQAAAAI&#10;AIdO4kCLWTc4QAMAADwJAAAOAAAAAAAAAAEAIAAAACo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b w:val="0"/>
          <w:bCs w:val="0"/>
        </w:rPr>
        <w:t>四、财政拨款收入支出决算情况说明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形成的财政拨款收支均为一般公共预算财政拨款，其中一般公共预算财政拨款本年收入2019.90万元,比2017年度增加417.42万元，增长24.92%，增长原因主要是1、2018年我单位人员工资进行了调整，人员工资待遇增加；2、我院2018年案件受理数量增加。</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本年支出1870.45万元，增加91.81万元，增长5.16%，主要是1、2018年我单位人员工资进行了调整，人员工资待遇增加；2、我院2018年案件受理数量增加。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一般公共预算财政拨款收入2019.90万元，完成年初预算的100%,比年初预算增加31.96万元，决算数大于预算数主要原因是2018年度人员工资进行了调整，人员工资待遇增加；本年支出1870.45万元，完成年初预算的94.08%,比年初预算减少117.49万元，决算数小</w:t>
      </w:r>
      <w:r>
        <w:rPr>
          <w:rFonts w:ascii="仿宋" w:hAnsi="仿宋" w:eastAsia="仿宋"/>
          <w:sz w:val="44"/>
        </w:rPr>
        <mc:AlternateContent>
          <mc:Choice Requires="wpg">
            <w:drawing>
              <wp:anchor distT="0" distB="0" distL="114300" distR="114300" simplePos="0" relativeHeight="251675648"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6" name="组合 76"/>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564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En7KztsAAAALAQAADwAAAAAAAAABACAAAAAiAAAAZHJzL2Rvd25yZXYueG1sUEsBAhQA&#10;FAAAAAgAh07iQDKzEipFAwAAPAkAAA4AAAAAAAAAAQAgAAAAKg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3rJ/70AAADb&#10;AAAADwAAAGRycy9kb3ducmV2LnhtbEWPT2sCMRTE7wW/Q3hCbzXZgq6sRg9isXhqVfD63Dx31928&#10;LEn89+2bQqHHYWZ+w8yXD9uJG/nQONaQjRQI4tKZhisNh/3H2xREiMgGO8ek4UkBlovByxwL4+78&#10;TbddrESCcChQQx1jX0gZyposhpHriZN3dt5iTNJX0ni8J7jt5LtSE2mx4bRQY0+rmsp2d7Ua2kP+&#10;1ajV5nLctpOxX2enfOxPWr8OMzUDEekR/8N/7U+jIc/h90v6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n/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R0wZu7YAAADb&#10;AAAADwAAAGRycy9kb3ducmV2LnhtbEVPy6rCMBDdC/5DGMGdJrrQUo2CguLS171uh2Zsi82kJPH1&#10;92YhuDyc93z5so14kA+1Yw2joQJBXDhTc6nhfNoMMhAhIhtsHJOGNwVYLrqdOebGPflAj2MsRQrh&#10;kKOGKsY2lzIUFVkMQ9cSJ+7qvMWYoC+l8fhM4baRY6Um0mLNqaHCltYVFbfj3WqY7FdrV5yy7b+/&#10;1Grv7pt3Nv3Tut8bqRmISK/4E3/dO6NhmsamL+kH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dMGbu2AAAA2wAAAA8A&#10;AAAAAAAAAQAgAAAAIgAAAGRycy9kb3ducmV2LnhtbFBLAQIUABQAAAAIAIdO4kAzLwWeOwAAADkA&#10;AAAQAAAAAAAAAAEAIAAAAAUBAABkcnMvc2hhcGV4bWwueG1sUEsFBgAAAAAGAAYAWwEAAK8DAAAA&#10;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DengXian-Regular"/>
          <w:sz w:val="32"/>
          <w:szCs w:val="32"/>
        </w:rPr>
        <w:t>于预算数主</w:t>
      </w:r>
      <w:r>
        <w:rPr>
          <w:rFonts w:hint="eastAsia" w:ascii="仿宋_GB2312" w:eastAsia="仿宋_GB2312" w:cs="DengXian-Regular"/>
          <w:sz w:val="32"/>
          <w:szCs w:val="32"/>
        </w:rPr>
        <w:t>要</w:t>
      </w:r>
      <w:r>
        <w:rPr>
          <w:rFonts w:hint="eastAsia" w:ascii="仿宋" w:hAnsi="仿宋" w:eastAsia="仿宋" w:cs="DengXian-Regular"/>
          <w:sz w:val="32"/>
          <w:szCs w:val="32"/>
        </w:rPr>
        <w:t>原因是报废三辆公车，厉行节约，</w:t>
      </w:r>
      <w:r>
        <w:rPr>
          <w:rFonts w:hint="eastAsia" w:ascii="仿宋" w:hAnsi="仿宋" w:eastAsia="仿宋" w:cs="仿宋_GB2312"/>
          <w:sz w:val="32"/>
          <w:szCs w:val="32"/>
        </w:rPr>
        <w:t>反对铺张浪费。</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2018 年度财政拨款支出1870.45万元，主要用于以下方面：公共安全类（类）支出1799.73万元，占100%。</w:t>
      </w: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114300" distR="114300" simplePos="0" relativeHeight="25167667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667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En7KztsAAAALAQAADwAAAAAAAAABACAAAAAiAAAAZHJzL2Rvd25yZXYueG1sUEsBAhQAFAAA&#10;AAgAh07iQIqpVEV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880" w:firstLineChars="200"/>
        <w:rPr>
          <w:rFonts w:ascii="仿宋" w:hAnsi="仿宋" w:eastAsia="仿宋" w:cs="DengXian-Regular"/>
          <w:sz w:val="32"/>
          <w:szCs w:val="32"/>
          <w:highlight w:val="yellow"/>
        </w:rPr>
      </w:pPr>
      <w:r>
        <w:rPr>
          <w:rFonts w:ascii="仿宋" w:hAnsi="仿宋" w:eastAsia="仿宋"/>
          <w:sz w:val="44"/>
        </w:rPr>
        <mc:AlternateContent>
          <mc:Choice Requires="wpg">
            <w:drawing>
              <wp:anchor distT="0" distB="0" distL="114300" distR="114300" simplePos="0" relativeHeight="25168384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23" name="组合 2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384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En7KztsAAAALAQAADwAAAAAAAAABACAAAAAiAAAAZHJzL2Rvd25yZXYueG1s&#10;UEsBAhQAFAAAAAgAh07iQGCfOcdLAwAAPAkAAA4AAAAAAAAAAQAgAAAAKgEAAGRycy9lMm9Eb2Mu&#10;eG1sUEsFBgAAAAAGAAYAWQEAAOc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Bt4lb4AAADb&#10;AAAADwAAAGRycy9kb3ducmV2LnhtbEWPzWsCMRTE74X+D+EVvNVkxY+yNXoQpcWTX+D1uXnd3e7m&#10;ZUlStf+9EQSPw8z8hpnOr7YVZ/Khdqwh6ysQxIUzNZcaDvvV+weIEJENto5Jwz8FmM9eX6aYG3fh&#10;LZ13sRQJwiFHDVWMXS5lKCqyGPquI07ej/MWY5K+lMbjJcFtKwdKjaXFmtNChR0tKiqa3Z/V0Bwm&#10;m1otvn6P62Y88svsNBn5k9a9t0x9goh0jc/wo/1tNAyGcP+Sfo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t4l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uv6ZOLwAAADb&#10;AAAADwAAAGRycy9kb3ducmV2LnhtbEWPQWvCQBSE7wX/w/KE3uquQm1IXYUKiseorV4f2dckNPs2&#10;7G4S/fduodDjMDPfMKvNzbZiIB8axxrmMwWCuHSm4UrD53n3koEIEdlg65g03CnAZj15WmFu3MhH&#10;Gk6xEgnCIUcNdYxdLmUoa7IYZq4jTt638xZjkr6SxuOY4LaVC6WW0mLDaaHGjrY1lT+n3mpYFh9b&#10;V56z/cVfG1W4fnfP3r60fp7O1TuISLf4H/5rH4yGxSv8fk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mTi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 w:hAnsi="仿宋" w:eastAsia="仿宋" w:cs="DengXian-Regular"/>
          <w:sz w:val="32"/>
          <w:szCs w:val="32"/>
        </w:rPr>
        <w:t>2018 年度一般公共预算财政拨款基本支出1870.45万元，其中：人员经费1079.38万元，主要包括基本工资292.13万元、津贴补贴422.61万元、奖金23.05万元、伙食补助费0万元、绩效工资0万元、机关事业单位基本养老保险缴费109.55万元、职业年金缴费0万元、职工基本医疗保险缴费34万元、公务员医疗补助缴费0万元、住房公积金55.20万元、医疗费0万元、其他社会保障缴费10.03万元、其他工资福利支出117.28万元、离休费0万元、退休费0万元、抚恤金0万元、生活补助15.52万元、医疗费补助0万元、奖励金0万元、其他对个人和家庭的补助支出0万元；公用经费 287.94万元，主要包括办公费67.8万元、印刷费0万元、咨询0万元费、手续费0万元、水费2.77万元、电费12.06万元、邮电费30.58万元、取暖费10.43万元、物业管理费0万元、差旅费0万元、因公出国（境）费用0万元、维修（护）费11.12万元、租赁费0万元、会议费0万元、培训费0.59万元、公务接待费0万元、专用材料费0万元、劳务费86.52万元、委托业务费0万元、工会经费0万元、福利费0万元、公务用车运行维护费0万元、其他交通费用44.27万元、税金及附加费用0万元、其他商品和服务支出19.7万元、办公设备购置2.11万元、专用设备购置0万元、信息网络及软件购置更新0万元、公务用车购置0万元、其他资本性支出0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_GB2312" w:eastAsia="仿宋_GB2312" w:cs="DengXian-Regular"/>
          <w:sz w:val="32"/>
          <w:szCs w:val="32"/>
        </w:rPr>
        <w:t>本</w:t>
      </w:r>
      <w:r>
        <w:rPr>
          <w:rFonts w:hint="eastAsia" w:ascii="仿宋" w:hAnsi="仿宋" w:eastAsia="仿宋" w:cs="DengXian-Regular"/>
          <w:sz w:val="32"/>
          <w:szCs w:val="32"/>
        </w:rPr>
        <w:t>部门2018年度 “三公”经费支出共计95万元，较年初预算增加0万元，增加0%，主要是与年初预算持平，严格执行年初预算，认真贯彻落实中央“八项规定”精神和厉行节约要求，从严控制“三公”经费开支，具体情况如下：</w:t>
      </w:r>
    </w:p>
    <w:p>
      <w:pPr>
        <w:adjustRightInd w:val="0"/>
        <w:snapToGrid w:val="0"/>
        <w:spacing w:after="0" w:line="580" w:lineRule="exact"/>
        <w:ind w:firstLine="643" w:firstLineChars="200"/>
        <w:rPr>
          <w:rFonts w:ascii="仿宋_GB2312" w:eastAsia="仿宋_GB2312" w:cs="DengXian-Regular"/>
          <w:color w:val="000000" w:themeColor="text1"/>
          <w:sz w:val="32"/>
          <w:szCs w:val="32"/>
          <w14:textFill>
            <w14:solidFill>
              <w14:schemeClr w14:val="tx1"/>
            </w14:solidFill>
          </w14:textFill>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769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769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J+ys7bAAAACwEAAA8AAAAAAAAAAQAgAAAAIgAAAGRycy9kb3ducmV2LnhtbFBLAQIUABQAAAAI&#10;AIdO4kDrV2WKQAMAADwJAAAOAAAAAAAAAAEAIAAAACo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本部门2018年度因公出国（境）团组0个、共0人参加其他单位组织的因公出国（境）团组0个、无本单位组织的出国（境）团组。主要是未发生‘因公出国经费支出”。</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仿宋" w:hAnsi="仿宋" w:eastAsia="仿宋" w:cs="DengXian-Bold"/>
          <w:b/>
          <w:bCs/>
          <w:sz w:val="32"/>
          <w:szCs w:val="32"/>
        </w:rPr>
        <w:t>（二）公务用车购置及运行维护费支出4</w:t>
      </w:r>
      <w:r>
        <w:rPr>
          <w:rFonts w:hint="eastAsia" w:ascii="仿宋" w:hAnsi="仿宋" w:eastAsia="仿宋" w:cs="Calibri"/>
          <w:b/>
          <w:bCs/>
          <w:sz w:val="32"/>
          <w:szCs w:val="32"/>
        </w:rPr>
        <w:t>9</w:t>
      </w:r>
      <w:r>
        <w:rPr>
          <w:rFonts w:hint="eastAsia" w:ascii="仿宋" w:hAnsi="仿宋" w:eastAsia="仿宋" w:cs="DengXian-Bold"/>
          <w:b/>
          <w:bCs/>
          <w:sz w:val="32"/>
          <w:szCs w:val="32"/>
        </w:rPr>
        <w:t>万元</w:t>
      </w:r>
      <w:r>
        <w:rPr>
          <w:rFonts w:hint="eastAsia" w:ascii="楷体_GB2312" w:eastAsia="楷体_GB2312" w:cs="DengXian-Bold"/>
          <w:b/>
          <w:bCs/>
          <w:sz w:val="32"/>
          <w:szCs w:val="32"/>
        </w:rPr>
        <w:t>。</w:t>
      </w:r>
      <w:r>
        <w:rPr>
          <w:rFonts w:hint="eastAsia" w:ascii="仿宋_GB2312" w:eastAsia="仿宋_GB2312" w:cs="DengXian-Regular"/>
          <w:sz w:val="32"/>
          <w:szCs w:val="32"/>
        </w:rPr>
        <w:t>本部门2018年度公务用车购置及运行维护费较年初预算减少0万元，降低0%,主要是与年初预算持平，严格执行年初预算，认真贯彻落实中央“八项规定”精神和厉行节约要求，从严控制“三公”经费开支。</w:t>
      </w:r>
      <w:r>
        <w:rPr>
          <w:rFonts w:hint="eastAsia" w:ascii="仿宋" w:hAnsi="仿宋" w:eastAsia="仿宋" w:cs="DengXian-Bold"/>
          <w:b/>
          <w:bCs/>
          <w:sz w:val="32"/>
          <w:szCs w:val="32"/>
        </w:rPr>
        <w:t>其中：</w:t>
      </w:r>
    </w:p>
    <w:p>
      <w:pPr>
        <w:adjustRightInd w:val="0"/>
        <w:snapToGrid w:val="0"/>
        <w:spacing w:after="0" w:line="580" w:lineRule="exact"/>
        <w:ind w:firstLine="643" w:firstLineChars="200"/>
        <w:rPr>
          <w:rFonts w:ascii="仿宋" w:hAnsi="仿宋" w:eastAsia="仿宋" w:cs="DengXian-Regular"/>
          <w:color w:val="000000" w:themeColor="text1"/>
          <w:sz w:val="32"/>
          <w:szCs w:val="32"/>
          <w14:textFill>
            <w14:solidFill>
              <w14:schemeClr w14:val="tx1"/>
            </w14:solidFill>
          </w14:textFill>
        </w:rPr>
      </w:pPr>
      <w:r>
        <w:rPr>
          <w:rFonts w:hint="eastAsia" w:ascii="仿宋" w:hAnsi="仿宋" w:eastAsia="仿宋" w:cs="DengXian-Regular"/>
          <w:b/>
          <w:sz w:val="32"/>
          <w:szCs w:val="32"/>
        </w:rPr>
        <w:t>公务用车购置费</w:t>
      </w:r>
      <w:r>
        <w:rPr>
          <w:rFonts w:hint="eastAsia" w:ascii="仿宋_GB2312" w:eastAsia="仿宋_GB2312" w:cs="DengXian-Regular"/>
          <w:b/>
          <w:sz w:val="32"/>
          <w:szCs w:val="32"/>
        </w:rPr>
        <w:t>：</w:t>
      </w:r>
      <w:r>
        <w:rPr>
          <w:rFonts w:hint="eastAsia" w:ascii="仿宋" w:hAnsi="仿宋" w:eastAsia="仿宋" w:cs="DengXian-Regular"/>
          <w:sz w:val="32"/>
          <w:szCs w:val="32"/>
        </w:rPr>
        <w:t>本部门2018年度公务用车购置量3辆，截止2018年12月31辆公务用车购置数为3辆及保有量为19辆，发生“公务用车购置”经费支出49万元。公务用车购置费支出较年初预算增加0万元，增长0%,主要是与年初预算持平，严格执行年初预算。</w:t>
      </w:r>
      <w:r>
        <w:rPr>
          <w:rFonts w:hint="eastAsia" w:ascii="仿宋_GB2312" w:eastAsia="仿宋_GB2312" w:cs="DengXian-Regular"/>
          <w:sz w:val="32"/>
          <w:szCs w:val="32"/>
        </w:rPr>
        <w:t>较去年决算增加</w:t>
      </w:r>
      <w:r>
        <w:rPr>
          <w:rFonts w:hint="eastAsia" w:ascii="Calibri" w:hAnsi="Calibri" w:eastAsia="仿宋_GB2312" w:cs="Calibri"/>
          <w:sz w:val="32"/>
          <w:szCs w:val="32"/>
        </w:rPr>
        <w:t>49</w:t>
      </w:r>
      <w:r>
        <w:rPr>
          <w:rFonts w:hint="eastAsia" w:ascii="仿宋_GB2312" w:eastAsia="仿宋_GB2312" w:cs="DengXian-Regular"/>
          <w:sz w:val="32"/>
          <w:szCs w:val="32"/>
        </w:rPr>
        <w:t>万元，增长100%，主要是2017</w:t>
      </w:r>
      <w:r>
        <w:rPr>
          <w:rFonts w:hint="eastAsia" w:ascii="Calibri" w:hAnsi="Calibri" w:eastAsia="仿宋_GB2312" w:cs="Calibri"/>
          <w:sz w:val="32"/>
          <w:szCs w:val="32"/>
        </w:rPr>
        <w:t>年度</w:t>
      </w:r>
      <w:r>
        <w:rPr>
          <w:rFonts w:hint="eastAsia" w:ascii="仿宋_GB2312" w:eastAsia="仿宋_GB2312" w:cs="DengXian-Regular"/>
          <w:sz w:val="32"/>
          <w:szCs w:val="32"/>
        </w:rPr>
        <w:t>未发生‘因公出国经费支出”</w:t>
      </w:r>
      <w:r>
        <w:rPr>
          <w:rFonts w:hint="eastAsia" w:ascii="仿宋" w:hAnsi="仿宋" w:eastAsia="仿宋" w:cs="DengXian-Regular"/>
          <w:sz w:val="32"/>
          <w:szCs w:val="32"/>
        </w:rPr>
        <w:t>，2018年度</w:t>
      </w:r>
      <w:r>
        <w:rPr>
          <w:rFonts w:hint="eastAsia" w:ascii="仿宋" w:hAnsi="仿宋" w:eastAsia="仿宋" w:cs="微软雅黑"/>
          <w:sz w:val="32"/>
          <w:szCs w:val="32"/>
        </w:rPr>
        <w:t>我院</w:t>
      </w:r>
      <w:r>
        <w:rPr>
          <w:rFonts w:hint="eastAsia" w:ascii="仿宋" w:hAnsi="仿宋" w:eastAsia="仿宋" w:cs="DengXian-Regular"/>
          <w:sz w:val="32"/>
          <w:szCs w:val="32"/>
        </w:rPr>
        <w:t>有三辆公车</w:t>
      </w:r>
      <w:r>
        <w:rPr>
          <w:rFonts w:hint="eastAsia" w:ascii="仿宋" w:hAnsi="仿宋" w:eastAsia="仿宋" w:cs="微软雅黑"/>
          <w:sz w:val="32"/>
          <w:szCs w:val="32"/>
        </w:rPr>
        <w:t>达</w:t>
      </w:r>
      <w:r>
        <w:rPr>
          <w:rFonts w:hint="eastAsia" w:ascii="仿宋" w:hAnsi="仿宋" w:eastAsia="仿宋" w:cs="___WRD_EMBED_SUB_43"/>
          <w:sz w:val="32"/>
          <w:szCs w:val="32"/>
        </w:rPr>
        <w:t>到</w:t>
      </w:r>
      <w:r>
        <w:rPr>
          <w:rFonts w:hint="eastAsia" w:ascii="仿宋" w:hAnsi="仿宋" w:eastAsia="仿宋" w:cs="DengXian-Regular"/>
          <w:sz w:val="32"/>
          <w:szCs w:val="32"/>
        </w:rPr>
        <w:t>报</w:t>
      </w:r>
      <w:r>
        <w:rPr>
          <w:rFonts w:hint="eastAsia" w:ascii="仿宋" w:hAnsi="仿宋" w:eastAsia="仿宋" w:cs="微软雅黑"/>
          <w:sz w:val="32"/>
          <w:szCs w:val="32"/>
        </w:rPr>
        <w:t>废</w:t>
      </w:r>
      <w:r>
        <w:rPr>
          <w:rFonts w:hint="eastAsia" w:ascii="仿宋" w:hAnsi="仿宋" w:eastAsia="仿宋" w:cs="DengXian-Regular"/>
          <w:sz w:val="32"/>
          <w:szCs w:val="32"/>
        </w:rPr>
        <w:t>标</w:t>
      </w:r>
      <w:r>
        <w:rPr>
          <w:rFonts w:hint="eastAsia" w:ascii="仿宋" w:hAnsi="仿宋" w:eastAsia="仿宋" w:cs="微软雅黑"/>
          <w:sz w:val="32"/>
          <w:szCs w:val="32"/>
        </w:rPr>
        <w:t>准</w:t>
      </w:r>
      <w:r>
        <w:rPr>
          <w:rFonts w:hint="eastAsia" w:ascii="仿宋" w:hAnsi="仿宋" w:eastAsia="仿宋" w:cs="___WRD_EMBED_SUB_43"/>
          <w:sz w:val="32"/>
          <w:szCs w:val="32"/>
        </w:rPr>
        <w:t>，</w:t>
      </w:r>
      <w:r>
        <w:rPr>
          <w:rFonts w:hint="eastAsia" w:ascii="仿宋" w:hAnsi="仿宋" w:eastAsia="仿宋" w:cs="DengXian-Regular"/>
          <w:sz w:val="32"/>
          <w:szCs w:val="32"/>
        </w:rPr>
        <w:t>无法继续使用，需要购置。</w:t>
      </w:r>
    </w:p>
    <w:p>
      <w:pPr>
        <w:adjustRightInd w:val="0"/>
        <w:snapToGrid w:val="0"/>
        <w:spacing w:after="0" w:line="580" w:lineRule="exact"/>
        <w:ind w:firstLine="643" w:firstLineChars="200"/>
        <w:rPr>
          <w:rFonts w:ascii="仿宋" w:hAnsi="仿宋" w:eastAsia="仿宋" w:cs="DengXian-Regular"/>
          <w:color w:val="000000" w:themeColor="text1"/>
          <w:sz w:val="32"/>
          <w:szCs w:val="32"/>
          <w14:textFill>
            <w14:solidFill>
              <w14:schemeClr w14:val="tx1"/>
            </w14:solidFill>
          </w14:textFill>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本部门2018年度单位公务用车保有量19辆。公车运行维护费支出较年初预算增加0万元，增长0%,主要是与年初预算持平，严格执行年初预算。</w:t>
      </w:r>
    </w:p>
    <w:p>
      <w:pPr>
        <w:adjustRightInd w:val="0"/>
        <w:snapToGrid w:val="0"/>
        <w:spacing w:after="0" w:line="580" w:lineRule="exact"/>
        <w:ind w:firstLine="640" w:firstLineChars="200"/>
        <w:rPr>
          <w:rFonts w:ascii="仿宋" w:hAnsi="仿宋" w:eastAsia="仿宋" w:cs="DengXian-Regular"/>
          <w:color w:val="000000" w:themeColor="text1"/>
          <w:sz w:val="32"/>
          <w:szCs w:val="32"/>
          <w14:textFill>
            <w14:solidFill>
              <w14:schemeClr w14:val="tx1"/>
            </w14:solidFill>
          </w14:textFill>
        </w:rPr>
      </w:pPr>
      <w:r>
        <w:rPr>
          <w:rFonts w:hint="eastAsia" w:ascii="仿宋" w:hAnsi="仿宋" w:eastAsia="仿宋" w:cs="DengXian-Regular"/>
          <w:sz w:val="32"/>
          <w:szCs w:val="32"/>
        </w:rPr>
        <w:t>较去年决算减少2.7万元，减少5.54%，主要是认真贯彻落实中央“八项规定”精神和厉行节约要求，</w:t>
      </w:r>
      <w:r>
        <w:rPr>
          <w:rFonts w:hint="eastAsia" w:ascii="仿宋" w:hAnsi="仿宋" w:eastAsia="仿宋"/>
          <w:sz w:val="32"/>
          <w:szCs w:val="32"/>
        </w:rPr>
        <w:t>格控制公务用车运行费用</w:t>
      </w:r>
      <w:r>
        <w:rPr>
          <w:rFonts w:hint="eastAsia" w:ascii="仿宋" w:hAnsi="仿宋" w:eastAsia="仿宋" w:cs="DengXian-Regular"/>
          <w:sz w:val="32"/>
          <w:szCs w:val="32"/>
        </w:rPr>
        <w:t>，从严控制“三公”经费开支。</w:t>
      </w:r>
    </w:p>
    <w:p>
      <w:pPr>
        <w:adjustRightInd w:val="0"/>
        <w:snapToGrid w:val="0"/>
        <w:spacing w:after="0" w:line="580" w:lineRule="exact"/>
        <w:ind w:firstLine="643" w:firstLineChars="200"/>
        <w:rPr>
          <w:rFonts w:ascii="仿宋_GB2312" w:eastAsia="仿宋_GB2312" w:cs="DengXian-Regular"/>
          <w:color w:val="000000" w:themeColor="text1"/>
          <w:sz w:val="32"/>
          <w:szCs w:val="32"/>
          <w14:textFill>
            <w14:solidFill>
              <w14:schemeClr w14:val="tx1"/>
            </w14:solidFill>
          </w14:textFill>
        </w:rPr>
      </w:pPr>
      <w:r>
        <w:rPr>
          <w:rFonts w:hint="eastAsia" w:ascii="楷体_GB2312" w:eastAsia="楷体_GB2312" w:cs="DengXian-Bold"/>
          <w:b/>
          <w:bCs/>
          <w:sz w:val="32"/>
          <w:szCs w:val="32"/>
        </w:rPr>
        <w:t>（三）公务接待费支出0万元。</w:t>
      </w:r>
      <w:r>
        <w:rPr>
          <w:sz w:val="44"/>
        </w:rPr>
        <mc:AlternateContent>
          <mc:Choice Requires="wpg">
            <w:drawing>
              <wp:anchor distT="0" distB="0" distL="114300" distR="114300" simplePos="0" relativeHeight="25167872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872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En7KztsAAAALAQAADwAAAAAAAAABACAAAAAiAAAAZHJzL2Rvd25yZXYueG1sUEsBAhQAFAAA&#10;AAgAh07iQGOEJf9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本部门2018年度公务接待共0批次、0人次。公务接待费支出较年初预算增加0万元，增长0%,主要是未发生‘公务接待费经费支出”。</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spacing w:line="520" w:lineRule="exact"/>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spacing w:line="520" w:lineRule="exact"/>
        <w:rPr>
          <w:rFonts w:hint="eastAsia" w:ascii="仿宋" w:hAnsi="仿宋" w:eastAsia="仿宋" w:cs="楷体_GB2312"/>
          <w:b/>
          <w:bCs/>
          <w:sz w:val="32"/>
          <w:szCs w:val="32"/>
        </w:rPr>
      </w:pPr>
      <w:r>
        <w:rPr>
          <w:rFonts w:hint="eastAsia" w:ascii="仿宋" w:hAnsi="仿宋" w:eastAsia="仿宋" w:cs="楷体_GB2312"/>
          <w:b/>
          <w:bCs/>
          <w:sz w:val="32"/>
          <w:szCs w:val="32"/>
        </w:rPr>
        <w:t>一、总体绩效目标：</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绩效目标主要有依法惩治刑事犯罪，监督行政机关依法行政，促进社会和谐稳定服务全区工作大局。同时积极推进执法工作进行，切实保障群众的合法权益，维护社会的稳定与正义。完善审判质效体系健全司法权力运行机制，提供司法公信力。不断提高队伍素质和执法能力，推进信息公开化，推进信息公开，改进司法工作作风，树立良好的形象。精简、高效、方便诉讼的原则、科学划分职责、合理分配资源。</w:t>
      </w:r>
    </w:p>
    <w:p>
      <w:pPr>
        <w:spacing w:line="520" w:lineRule="exact"/>
        <w:rPr>
          <w:rFonts w:hint="eastAsia" w:ascii="仿宋" w:hAnsi="仿宋" w:eastAsia="仿宋" w:cs="仿宋_GB2312"/>
          <w:sz w:val="32"/>
          <w:szCs w:val="32"/>
        </w:rPr>
      </w:pPr>
      <w:r>
        <w:rPr>
          <w:rFonts w:hint="eastAsia" w:ascii="仿宋" w:hAnsi="仿宋" w:eastAsia="仿宋" w:cs="仿宋_GB2312"/>
          <w:b/>
          <w:bCs/>
          <w:sz w:val="32"/>
          <w:szCs w:val="32"/>
        </w:rPr>
        <w:t>1、案件审判管理和执行</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妥善审理经济转型过程中引发的各类矛盾纠纷，依法维护国家安全和社会稳定，严惩各类严重刑事犯罪，积极推进平安我区建设，营造良好的法治环境。依法惩治刑事犯罪，监督行政机关依法行政，促进社会和谐，维护社会稳定，服务全区工作大局，发挥服务保障职能。积极推进执行工作，切实保障群众合法权益，维护社会公平正义。完善审判质效评估体系，促进审判质效、健全司法权力运行机制，提升司法公信力。为案件审判提供技术支撑，提高办案质量。</w:t>
      </w:r>
    </w:p>
    <w:p>
      <w:pPr>
        <w:spacing w:line="520" w:lineRule="exact"/>
        <w:rPr>
          <w:rFonts w:hint="eastAsia" w:ascii="仿宋" w:hAnsi="仿宋" w:eastAsia="仿宋" w:cs="仿宋_GB2312"/>
          <w:b/>
          <w:bCs/>
          <w:sz w:val="32"/>
          <w:szCs w:val="32"/>
        </w:rPr>
      </w:pPr>
      <w:r>
        <w:rPr>
          <w:rFonts w:hint="eastAsia" w:ascii="仿宋" w:hAnsi="仿宋" w:eastAsia="仿宋" w:cs="仿宋_GB2312"/>
          <w:b/>
          <w:bCs/>
          <w:sz w:val="32"/>
          <w:szCs w:val="32"/>
        </w:rPr>
        <w:t>2、司法救助和国家赔偿</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改革涉诉信访工作，推动涉诉信访问题在法治轨道内解决；落实司法为民措施，保护被侵权人合法利益，促进国家机关依法行使职权。保障信访工作正常进行，提高信访案件结案率、信访受理满意度，维护国家机关的正常工作秩序，做好稳控工作。不断完善司法救助，切实保护民生，让人民群众感受到司法以人为本，享受到司法人文关怀。保护被侵害人的合法权益，促进行政机关依法行政。</w:t>
      </w:r>
    </w:p>
    <w:p>
      <w:pPr>
        <w:spacing w:line="520" w:lineRule="exact"/>
        <w:rPr>
          <w:rFonts w:hint="eastAsia" w:ascii="仿宋" w:hAnsi="仿宋" w:eastAsia="仿宋" w:cs="仿宋_GB2312"/>
          <w:b/>
          <w:bCs/>
          <w:sz w:val="32"/>
          <w:szCs w:val="32"/>
        </w:rPr>
      </w:pPr>
      <w:r>
        <w:rPr>
          <w:rFonts w:hint="eastAsia" w:ascii="仿宋" w:hAnsi="仿宋" w:eastAsia="仿宋" w:cs="仿宋_GB2312"/>
          <w:b/>
          <w:bCs/>
          <w:sz w:val="32"/>
          <w:szCs w:val="32"/>
        </w:rPr>
        <w:t>3、法院事务管理</w:t>
      </w:r>
    </w:p>
    <w:p>
      <w:pPr>
        <w:spacing w:line="520" w:lineRule="exact"/>
        <w:ind w:firstLine="640" w:firstLineChars="200"/>
        <w:jc w:val="center"/>
        <w:rPr>
          <w:rFonts w:hint="eastAsia" w:ascii="仿宋" w:hAnsi="仿宋" w:eastAsia="仿宋" w:cs="仿宋_GB2312"/>
          <w:sz w:val="32"/>
          <w:szCs w:val="32"/>
        </w:rPr>
      </w:pPr>
      <w:r>
        <w:rPr>
          <w:rFonts w:hint="eastAsia" w:ascii="仿宋" w:hAnsi="仿宋" w:eastAsia="仿宋" w:cs="仿宋_GB2312"/>
          <w:sz w:val="32"/>
          <w:szCs w:val="32"/>
        </w:rPr>
        <w:t>提高队伍素质和执法能力，高质高效完成各项工作。不断提高队伍素质和执法能力，推进信息公开，提升审判质效，改进司法工作作风，树立法院良好形象。加强法院系统队伍建设，加强法院基础设施及信息化建设，加强培训及法院文化建设；总结法院审判业务工作经验，建立绩效考核制度，树立法院良好形象。</w:t>
      </w:r>
    </w:p>
    <w:p>
      <w:pPr>
        <w:spacing w:line="52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p>
    <w:p>
      <w:pPr>
        <w:spacing w:line="520" w:lineRule="exact"/>
        <w:ind w:firstLine="1280" w:firstLineChars="400"/>
        <w:rPr>
          <w:rFonts w:hint="eastAsia" w:ascii="仿宋_GB2312" w:eastAsia="仿宋_GB2312" w:cs="DengXian-Regular"/>
          <w:sz w:val="32"/>
          <w:szCs w:val="32"/>
        </w:rPr>
      </w:pPr>
      <w:r>
        <w:rPr>
          <w:rFonts w:hint="eastAsia" w:ascii="仿宋_GB2312" w:eastAsia="仿宋_GB2312" w:cs="DengXian-Regular"/>
          <w:sz w:val="32"/>
          <w:szCs w:val="32"/>
        </w:rPr>
        <w:t>项目绩效自评</w:t>
      </w:r>
      <w:r>
        <w:rPr>
          <w:rFonts w:hint="eastAsia" w:ascii="仿宋" w:hAnsi="仿宋" w:eastAsia="仿宋" w:cs="DengXian-Regular"/>
          <w:sz w:val="32"/>
          <w:szCs w:val="32"/>
        </w:rPr>
        <w:t>结果</w:t>
      </w:r>
      <w:r>
        <w:rPr>
          <w:rFonts w:hint="eastAsia" w:ascii="仿宋" w:hAnsi="仿宋" w:eastAsia="仿宋" w:cs="Calibri"/>
          <w:sz w:val="32"/>
          <w:szCs w:val="32"/>
        </w:rPr>
        <w:t>为</w:t>
      </w:r>
      <w:r>
        <w:rPr>
          <w:rFonts w:hint="eastAsia" w:ascii="仿宋" w:hAnsi="仿宋" w:eastAsia="仿宋" w:cs="DengXian-Regular"/>
          <w:sz w:val="32"/>
          <w:szCs w:val="32"/>
        </w:rPr>
        <w:t>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p>
    <w:p>
      <w:pPr>
        <w:adjustRightInd w:val="0"/>
        <w:snapToGrid w:val="0"/>
        <w:spacing w:after="0" w:line="580" w:lineRule="exact"/>
        <w:rPr>
          <w:rFonts w:ascii="仿宋_GB2312" w:eastAsia="仿宋_GB2312" w:cs="DengXian-Regular"/>
          <w:sz w:val="32"/>
          <w:szCs w:val="32"/>
        </w:rPr>
      </w:pPr>
      <w:r>
        <w:rPr>
          <w:rFonts w:ascii="仿宋_GB2312" w:eastAsia="仿宋_GB2312" w:cs="DengXian-Regular"/>
          <w:sz w:val="32"/>
          <w:szCs w:val="32"/>
        </w:rPr>
        <w:t xml:space="preserve">         无</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 w:hAnsi="仿宋" w:eastAsia="仿宋" w:cs="DengXian-Regular"/>
          <w:sz w:val="32"/>
          <w:szCs w:val="32"/>
          <w:highlight w:val="yellow"/>
        </w:rPr>
      </w:pPr>
      <w:r>
        <w:rPr>
          <w:rFonts w:hint="eastAsia" w:ascii="仿宋_GB2312" w:eastAsia="仿宋_GB2312" w:cs="DengXian-Regular"/>
          <w:sz w:val="32"/>
          <w:szCs w:val="32"/>
        </w:rPr>
        <w:t>本部门2018年度机关运行经费支出</w:t>
      </w:r>
      <w:r>
        <w:rPr>
          <w:rFonts w:hint="eastAsia" w:ascii="仿宋" w:hAnsi="仿宋" w:eastAsia="仿宋" w:cs="DengXian-Regular"/>
          <w:sz w:val="32"/>
          <w:szCs w:val="32"/>
        </w:rPr>
        <w:t>287.</w:t>
      </w:r>
      <w:r>
        <w:rPr>
          <w:rFonts w:hint="eastAsia" w:ascii="仿宋" w:hAnsi="仿宋" w:eastAsia="仿宋" w:cs="Calibri"/>
          <w:sz w:val="32"/>
          <w:szCs w:val="32"/>
        </w:rPr>
        <w:t>94</w:t>
      </w:r>
      <w:r>
        <w:rPr>
          <w:rFonts w:hint="eastAsia" w:ascii="仿宋_GB2312" w:eastAsia="仿宋_GB2312" w:cs="DengXian-Regular"/>
          <w:sz w:val="32"/>
          <w:szCs w:val="32"/>
        </w:rPr>
        <w:t>万元，</w:t>
      </w:r>
      <w:r>
        <w:rPr>
          <w:rFonts w:hint="eastAsia" w:eastAsia="仿宋_GB2312"/>
          <w:sz w:val="32"/>
          <w:szCs w:val="32"/>
        </w:rPr>
        <w:t>（与部门决算中一般公共预算财政拨款基本支出中公用经费之和保持一致）</w:t>
      </w:r>
      <w:r>
        <w:rPr>
          <w:rFonts w:eastAsia="仿宋_GB2312"/>
          <w:sz w:val="32"/>
          <w:szCs w:val="32"/>
        </w:rPr>
        <w:t>，</w:t>
      </w:r>
      <w:r>
        <w:rPr>
          <w:rFonts w:hint="eastAsia" w:ascii="仿宋_GB2312" w:eastAsia="仿宋_GB2312" w:cs="DengXian-Regular"/>
          <w:sz w:val="32"/>
          <w:szCs w:val="32"/>
        </w:rPr>
        <w:t>比年初预算数增加15.87万元，增长5.81%。主要原因是</w:t>
      </w:r>
      <w:r>
        <w:rPr>
          <w:rFonts w:hint="eastAsia" w:ascii="仿宋" w:hAnsi="仿宋" w:eastAsia="仿宋" w:cs="微软雅黑"/>
          <w:sz w:val="32"/>
          <w:szCs w:val="32"/>
        </w:rPr>
        <w:t>我院2018年受理案件数量增多</w:t>
      </w:r>
      <w:r>
        <w:rPr>
          <w:rFonts w:hint="eastAsia" w:ascii="仿宋" w:hAnsi="仿宋" w:eastAsia="仿宋" w:cs="DengXian-Regular"/>
          <w:sz w:val="32"/>
          <w:szCs w:val="32"/>
        </w:rPr>
        <w:t>。</w:t>
      </w:r>
    </w:p>
    <w:p>
      <w:pPr>
        <w:adjustRightInd w:val="0"/>
        <w:snapToGrid w:val="0"/>
        <w:spacing w:after="0" w:line="580" w:lineRule="exact"/>
        <w:ind w:firstLine="640" w:firstLineChars="200"/>
        <w:rPr>
          <w:rFonts w:ascii="仿宋" w:hAnsi="仿宋" w:eastAsia="仿宋" w:cs="DengXian-Regular"/>
          <w:sz w:val="32"/>
          <w:szCs w:val="32"/>
          <w:highlight w:val="yellow"/>
        </w:rPr>
      </w:pPr>
      <w:r>
        <w:rPr>
          <w:rFonts w:hint="eastAsia" w:ascii="仿宋_GB2312" w:eastAsia="仿宋_GB2312" w:cs="DengXian-Regular"/>
          <w:sz w:val="32"/>
          <w:szCs w:val="32"/>
        </w:rPr>
        <w:t>较去年决算增加8</w:t>
      </w:r>
      <w:r>
        <w:rPr>
          <w:rFonts w:hint="eastAsia" w:ascii="仿宋" w:hAnsi="仿宋" w:eastAsia="仿宋" w:cs="Calibri"/>
          <w:sz w:val="32"/>
          <w:szCs w:val="32"/>
        </w:rPr>
        <w:t>4.73</w:t>
      </w:r>
      <w:r>
        <w:rPr>
          <w:rFonts w:ascii="仿宋" w:hAnsi="仿宋" w:eastAsia="仿宋" w:cs="DengXian-Regular"/>
          <w:sz w:val="32"/>
          <w:szCs w:val="32"/>
        </w:rPr>
        <w:tab/>
      </w:r>
      <w:r>
        <w:rPr>
          <w:rFonts w:hint="eastAsia" w:ascii="仿宋" w:hAnsi="仿宋" w:eastAsia="仿宋" w:cs="DengXian-Regular"/>
          <w:sz w:val="32"/>
          <w:szCs w:val="32"/>
        </w:rPr>
        <w:t>万元，增长</w:t>
      </w:r>
      <w:r>
        <w:rPr>
          <w:rFonts w:hint="eastAsia" w:ascii="仿宋" w:hAnsi="仿宋" w:eastAsia="仿宋" w:cs="Calibri"/>
          <w:sz w:val="32"/>
          <w:szCs w:val="32"/>
        </w:rPr>
        <w:t>41.69</w:t>
      </w:r>
      <w:r>
        <w:rPr>
          <w:rFonts w:hint="eastAsia" w:ascii="仿宋" w:hAnsi="仿宋" w:eastAsia="仿宋" w:cs="DengXian-Regular"/>
          <w:sz w:val="32"/>
          <w:szCs w:val="32"/>
        </w:rPr>
        <w:t>%，主要是</w:t>
      </w:r>
      <w:r>
        <w:rPr>
          <w:rFonts w:hint="eastAsia" w:ascii="仿宋" w:hAnsi="仿宋" w:eastAsia="仿宋" w:cs="微软雅黑"/>
          <w:sz w:val="32"/>
          <w:szCs w:val="32"/>
        </w:rPr>
        <w:t>我院2018年受理案件数量增多</w:t>
      </w:r>
      <w:r>
        <w:rPr>
          <w:rFonts w:hint="eastAsia" w:ascii="仿宋" w:hAnsi="仿宋" w:eastAsia="仿宋"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本部门2018年度政府采购支出总额0万元，从采购类型来看，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adjustRightInd w:val="0"/>
        <w:snapToGrid w:val="0"/>
        <w:spacing w:after="0" w:line="58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本部门无此项支出。</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 w:hAnsi="仿宋" w:eastAsia="仿宋" w:cs="DengXian-Regular"/>
          <w:sz w:val="32"/>
          <w:szCs w:val="32"/>
        </w:rPr>
        <w:t>截至2018年12月31日，本部门共有车辆19辆，比上年增加0辆，主要是我院2018年度报废三辆公车，但2018年度又新购置3辆，汽车保有量总数未发生变化。其中，副部（省）级及以上领导用车0辆，主要领导干部用车0辆，机要通信用车2辆，应急保障用车0辆，执法执勤用车7辆，特种专业技术用车10辆，离退休干部用车0辆，其他用车0辆，；单位价值50万元以上通用设备0台（套），比上年增加0套，主要是我院未发生此类支出，</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万元以上专用设备0台（套）比上年增加0套,主要是未发生此类支出。</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eastAsia="仿宋_GB2312"/>
          <w:sz w:val="32"/>
          <w:szCs w:val="32"/>
        </w:rPr>
        <w:t>政府性基金预算</w:t>
      </w:r>
      <w:r>
        <w:rPr>
          <w:rFonts w:hint="eastAsia" w:ascii="仿宋_GB2312" w:eastAsia="仿宋_GB2312" w:cs="DengXian-Regular"/>
          <w:sz w:val="32"/>
          <w:szCs w:val="32"/>
        </w:rPr>
        <w:t>无收支及结转结余情况故</w:t>
      </w:r>
      <w:r>
        <w:rPr>
          <w:rFonts w:hint="eastAsia" w:ascii="Calibri" w:hAnsi="Calibri" w:eastAsia="仿宋_GB2312" w:cs="Calibri"/>
          <w:sz w:val="32"/>
          <w:szCs w:val="32"/>
        </w:rPr>
        <w:t>Z</w:t>
      </w:r>
      <w:r>
        <w:rPr>
          <w:rFonts w:ascii="Calibri" w:hAnsi="Calibri" w:eastAsia="仿宋_GB2312" w:cs="Calibri"/>
          <w:sz w:val="32"/>
          <w:szCs w:val="32"/>
        </w:rPr>
        <w:t>09</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2、本部门2018年度</w:t>
      </w:r>
      <w:r>
        <w:rPr>
          <w:rFonts w:eastAsia="仿宋_GB2312"/>
          <w:sz w:val="32"/>
          <w:szCs w:val="32"/>
        </w:rPr>
        <w:t>国有资本经营预算</w:t>
      </w:r>
      <w:r>
        <w:rPr>
          <w:rFonts w:hint="eastAsia" w:ascii="仿宋_GB2312" w:eastAsia="仿宋_GB2312" w:cs="DengXian-Regular"/>
          <w:sz w:val="32"/>
          <w:szCs w:val="32"/>
        </w:rPr>
        <w:t>无收支及结转结余情况故</w:t>
      </w:r>
      <w:r>
        <w:rPr>
          <w:rFonts w:hint="eastAsia" w:ascii="Calibri" w:hAnsi="Calibri" w:eastAsia="仿宋_GB2312" w:cs="Calibri"/>
          <w:sz w:val="32"/>
          <w:szCs w:val="32"/>
        </w:rPr>
        <w:t>Z10</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3、本部门2018年度</w:t>
      </w:r>
      <w:r>
        <w:rPr>
          <w:rFonts w:eastAsia="仿宋_GB2312"/>
          <w:sz w:val="32"/>
          <w:szCs w:val="32"/>
        </w:rPr>
        <w:t>政府采购</w:t>
      </w:r>
      <w:r>
        <w:rPr>
          <w:rFonts w:hint="eastAsia" w:ascii="仿宋_GB2312" w:eastAsia="仿宋_GB2312" w:cs="DengXian-Regular"/>
          <w:sz w:val="32"/>
          <w:szCs w:val="32"/>
        </w:rPr>
        <w:t>无收支及结转结余情况故C</w:t>
      </w:r>
      <w:r>
        <w:rPr>
          <w:rFonts w:ascii="仿宋_GB2312" w:eastAsia="仿宋_GB2312" w:cs="DengXian-Regular"/>
          <w:sz w:val="32"/>
          <w:szCs w:val="32"/>
        </w:rPr>
        <w:t>S06</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7974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974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S&#10;fsrO2wAAAAsBAAAPAAAAAAAAAAEAIAAAACIAAABkcnMvZG93bnJldi54bWxQSwECFAAUAAAACACH&#10;TuJAvz6gAj4DAAA8CQAADgAAAAAAAAABACAAAAAqAQAAZHJzL2Uyb0RvYy54bWxQSwUGAAAAAAYA&#10;BgBZAQAA2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7456"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mnozeAAAADQEAAA8AAAAAAAAAAQAgAAAA&#10;IgAAAGRycy9kb3ducmV2LnhtbFBLAQIUABQAAAAIAIdO4kAzTACJPgIAAGkEAAAOAAAAAAAAAAEA&#10;IAAAAC0BAABkcnMvZTJvRG9jLnhtbFBLBQYAAAAABgAGAFkBAADd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（一）财政拨款收入：</w:t>
      </w:r>
      <w:r>
        <w:rPr>
          <w:rFonts w:hint="eastAsia" w:ascii="仿宋" w:hAnsi="仿宋" w:eastAsia="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（二）事业收入：</w:t>
      </w:r>
      <w:r>
        <w:rPr>
          <w:rFonts w:hint="eastAsia" w:ascii="仿宋" w:hAnsi="仿宋" w:eastAsia="仿宋"/>
          <w:color w:val="000000"/>
          <w:kern w:val="0"/>
          <w:sz w:val="32"/>
          <w:szCs w:val="32"/>
        </w:rPr>
        <w:t>指事业单位开展专业业务活动及辅助活动所取得的收入。</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（三）其他收入：</w:t>
      </w:r>
      <w:r>
        <w:rPr>
          <w:rFonts w:hint="eastAsia" w:ascii="仿宋" w:hAnsi="仿宋" w:eastAsia="仿宋"/>
          <w:color w:val="000000"/>
          <w:kern w:val="0"/>
          <w:sz w:val="32"/>
          <w:szCs w:val="32"/>
        </w:rPr>
        <w:t>指除上述“财政拨款收入”“事业收入”“经营收入”等以外的收入。</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（四）用事业基金弥补收支差额：</w:t>
      </w:r>
      <w:r>
        <w:rPr>
          <w:rFonts w:hint="eastAsia" w:ascii="仿宋" w:hAnsi="仿宋" w:eastAsia="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（五）年初结转和结余：</w:t>
      </w:r>
      <w:r>
        <w:rPr>
          <w:rFonts w:hint="eastAsia" w:ascii="仿宋" w:hAnsi="仿宋" w:eastAsia="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（六）结余分配：</w:t>
      </w:r>
      <w:r>
        <w:rPr>
          <w:rFonts w:hint="eastAsia" w:ascii="仿宋" w:hAnsi="仿宋" w:eastAsia="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（七）年末结转和结</w:t>
      </w:r>
      <w:r>
        <w:rPr>
          <w:rFonts w:hint="eastAsia" w:ascii="仿宋" w:hAnsi="仿宋" w:eastAsia="仿宋"/>
          <w:b/>
          <w:bCs/>
          <w:color w:val="000000"/>
          <w:kern w:val="0"/>
          <w:sz w:val="32"/>
          <w:szCs w:val="32"/>
        </w:rPr>
        <mc:AlternateContent>
          <mc:Choice Requires="wpg">
            <w:drawing>
              <wp:anchor distT="0" distB="0" distL="114300" distR="114300" simplePos="0" relativeHeight="251671552"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155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IWM/JvbAAAACwEAAA8AAAAAAAAAAQAgAAAAIgAAAGRycy9kb3ducmV2LnhtbFBLAQIUABQA&#10;AAAIAIdO4kDjtnK1QwMAAEAJAAAOAAAAAAAAAAEAIAAAACo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 w:hAnsi="仿宋" w:eastAsia="仿宋"/>
          <w:b/>
          <w:bCs/>
          <w:color w:val="000000"/>
          <w:kern w:val="0"/>
          <w:sz w:val="32"/>
          <w:szCs w:val="32"/>
        </w:rPr>
        <w:t>余：</w:t>
      </w:r>
      <w:r>
        <w:rPr>
          <w:rFonts w:hint="eastAsia" w:ascii="仿宋" w:hAnsi="仿宋" w:eastAsia="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（八）基本支出：</w:t>
      </w:r>
      <w:r>
        <w:rPr>
          <w:rFonts w:hint="eastAsia" w:ascii="仿宋" w:hAnsi="仿宋" w:eastAsia="仿宋"/>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（九）项目支出：</w:t>
      </w:r>
      <w:r>
        <w:rPr>
          <w:rFonts w:hint="eastAsia" w:ascii="仿宋" w:hAnsi="仿宋" w:eastAsia="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（十）资本性支出（基本建设）：</w:t>
      </w:r>
      <w:r>
        <w:rPr>
          <w:rFonts w:hint="eastAsia" w:ascii="仿宋" w:hAnsi="仿宋" w:eastAsia="仿宋"/>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（十一）资本性支出：</w:t>
      </w:r>
      <w:r>
        <w:rPr>
          <w:rFonts w:hint="eastAsia" w:ascii="仿宋" w:hAnsi="仿宋" w:eastAsia="仿宋"/>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（十二）“三公”经费：</w:t>
      </w:r>
      <w:r>
        <w:rPr>
          <w:rFonts w:hint="eastAsia" w:ascii="仿宋" w:hAnsi="仿宋" w:eastAsia="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 w:hAnsi="仿宋" w:eastAsia="仿宋"/>
          <w:b/>
          <w:bCs/>
          <w:color w:val="000000"/>
          <w:kern w:val="0"/>
          <w:sz w:val="32"/>
          <w:szCs w:val="32"/>
        </w:rPr>
        <mc:AlternateContent>
          <mc:Choice Requires="wpg">
            <w:drawing>
              <wp:anchor distT="0" distB="0" distL="114300" distR="114300" simplePos="0" relativeHeight="251680768"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8076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Yz8m9sAAAALAQAADwAAAAAAAAABACAAAAAiAAAAZHJzL2Rvd25yZXYueG1sUEsBAhQA&#10;FAAAAAgAh07iQGz6TMFFAwAAPAkAAA4AAAAAAAAAAQAgAAAAKg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 w:hAnsi="仿宋" w:eastAsia="仿宋"/>
          <w:color w:val="000000"/>
          <w:kern w:val="0"/>
          <w:sz w:val="32"/>
          <w:szCs w:val="32"/>
        </w:rPr>
        <w:t>待费反映单位按规定开支的各类公务接待（含外宾接待）支出。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（十三）其</w:t>
      </w:r>
      <w:r>
        <w:rPr>
          <w:rFonts w:hint="eastAsia" w:ascii="仿宋" w:hAnsi="仿宋" w:eastAsia="仿宋"/>
          <w:b/>
          <w:bCs/>
          <w:color w:val="000000"/>
          <w:kern w:val="0"/>
          <w:sz w:val="32"/>
          <w:szCs w:val="32"/>
        </w:rPr>
        <mc:AlternateContent>
          <mc:Choice Requires="wpg">
            <w:drawing>
              <wp:anchor distT="0" distB="0" distL="114300" distR="114300" simplePos="0" relativeHeight="251681792"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8179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Yz8m9sAAAALAQAADwAAAAAAAAABACAAAAAiAAAAZHJzL2Rvd25yZXYueG1sUEsBAhQAFAAA&#10;AAgAh07iQKt72zh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 w:hAnsi="仿宋" w:eastAsia="仿宋"/>
          <w:b/>
          <w:bCs/>
          <w:color w:val="000000"/>
          <w:kern w:val="0"/>
          <w:sz w:val="32"/>
          <w:szCs w:val="32"/>
        </w:rPr>
        <w:t>他交通费用：</w:t>
      </w:r>
      <w:r>
        <w:rPr>
          <w:rFonts w:hint="eastAsia" w:ascii="仿宋" w:hAnsi="仿宋" w:eastAsia="仿宋"/>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（十四）公务用车购置：</w:t>
      </w:r>
      <w:r>
        <w:rPr>
          <w:rFonts w:hint="eastAsia" w:ascii="仿宋" w:hAnsi="仿宋" w:eastAsia="仿宋"/>
          <w:color w:val="000000"/>
          <w:kern w:val="0"/>
          <w:sz w:val="32"/>
          <w:szCs w:val="32"/>
        </w:rPr>
        <w:t>填列单位公务用车购置支出（含车辆购置税、牌照费）。</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（十五）其他交通工具购置：</w:t>
      </w:r>
      <w:r>
        <w:rPr>
          <w:rFonts w:hint="eastAsia" w:ascii="仿宋" w:hAnsi="仿宋" w:eastAsia="仿宋"/>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（十六）机关运行经费：</w:t>
      </w:r>
      <w:r>
        <w:rPr>
          <w:rFonts w:hint="eastAsia" w:ascii="仿宋" w:hAnsi="仿宋" w:eastAsia="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 w:hAnsi="仿宋" w:eastAsia="仿宋" w:cs="ArialUnicodeMS"/>
          <w:kern w:val="0"/>
          <w:sz w:val="32"/>
          <w:szCs w:val="32"/>
        </w:rPr>
      </w:pPr>
      <w:r>
        <w:rPr>
          <w:rFonts w:hint="eastAsia" w:ascii="仿宋" w:hAnsi="仿宋" w:eastAsia="仿宋"/>
          <w:b/>
          <w:bCs/>
          <w:color w:val="000000"/>
          <w:kern w:val="0"/>
          <w:sz w:val="32"/>
          <w:szCs w:val="32"/>
        </w:rPr>
        <w:t>（十七）经费形式:</w:t>
      </w:r>
      <w:r>
        <w:rPr>
          <w:rFonts w:hint="eastAsia" w:ascii="仿宋" w:hAnsi="仿宋" w:eastAsia="仿宋"/>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p>
    <w:p>
      <w:pPr>
        <w:widowControl/>
        <w:spacing w:after="0" w:line="560" w:lineRule="exact"/>
        <w:ind w:firstLine="640" w:firstLineChars="200"/>
        <w:rPr>
          <w:rFonts w:ascii="仿宋" w:hAnsi="仿宋" w:eastAsia="仿宋" w:cs="ArialUnicodeMS"/>
          <w:kern w:val="0"/>
          <w:sz w:val="32"/>
          <w:szCs w:val="32"/>
        </w:rPr>
      </w:pPr>
      <w:r>
        <w:rPr>
          <w:rFonts w:ascii="仿宋" w:hAnsi="仿宋" w:eastAsia="仿宋" w:cs="ArialUnicodeMS"/>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8"/>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8330A6-F7DC-4B25-899A-9AB1C03F44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B875162-4E5D-46D2-AC10-CD2927A7282C}"/>
  </w:font>
  <w:font w:name="Cambria">
    <w:panose1 w:val="02040503050406030204"/>
    <w:charset w:val="00"/>
    <w:family w:val="roman"/>
    <w:pitch w:val="default"/>
    <w:sig w:usb0="E00002FF" w:usb1="400004FF" w:usb2="00000000" w:usb3="00000000" w:csb0="2000019F" w:csb1="00000000"/>
    <w:embedRegular r:id="rId3" w:fontKey="{FE600050-8DCE-438E-AD82-0270D9F6EA18}"/>
  </w:font>
  <w:font w:name="楷体">
    <w:panose1 w:val="02010609060101010101"/>
    <w:charset w:val="86"/>
    <w:family w:val="modern"/>
    <w:pitch w:val="default"/>
    <w:sig w:usb0="800002BF" w:usb1="38CF7CFA" w:usb2="00000016" w:usb3="00000000" w:csb0="00040001" w:csb1="00000000"/>
    <w:embedRegular r:id="rId4" w:fontKey="{65C03EBB-EAC2-4FAE-B9B1-738787412D51}"/>
  </w:font>
  <w:font w:name="仿宋_GB2312">
    <w:panose1 w:val="02010609030101010101"/>
    <w:charset w:val="86"/>
    <w:family w:val="modern"/>
    <w:pitch w:val="default"/>
    <w:sig w:usb0="00000001" w:usb1="080E0000" w:usb2="00000000" w:usb3="00000000" w:csb0="00040000" w:csb1="00000000"/>
    <w:embedRegular r:id="rId5" w:fontKey="{A0FB447B-7E73-497A-B563-411DA6D5CBA6}"/>
  </w:font>
  <w:font w:name="ArialUnicodeMS">
    <w:altName w:val="Dotum"/>
    <w:panose1 w:val="00000000000000000000"/>
    <w:charset w:val="81"/>
    <w:family w:val="auto"/>
    <w:pitch w:val="default"/>
    <w:sig w:usb0="00000000" w:usb1="00000000" w:usb2="00000010" w:usb3="00000000" w:csb0="00080001" w:csb1="00000000"/>
    <w:embedRegular r:id="rId6" w:fontKey="{A03684FE-ADE9-4001-85B8-168101994DC9}"/>
  </w:font>
  <w:font w:name="仿宋">
    <w:panose1 w:val="02010609060101010101"/>
    <w:charset w:val="86"/>
    <w:family w:val="modern"/>
    <w:pitch w:val="default"/>
    <w:sig w:usb0="800002BF" w:usb1="38CF7CFA" w:usb2="00000016" w:usb3="00000000" w:csb0="00040001" w:csb1="00000000"/>
    <w:embedRegular r:id="rId7" w:fontKey="{3EB540EE-A0EF-45C3-90F0-B6A5ECBA4DA0}"/>
  </w:font>
  <w:font w:name="MS-UIGothic,Bold">
    <w:altName w:val="Dotum"/>
    <w:panose1 w:val="00000000000000000000"/>
    <w:charset w:val="81"/>
    <w:family w:val="auto"/>
    <w:pitch w:val="default"/>
    <w:sig w:usb0="00000000" w:usb1="00000000" w:usb2="00000010" w:usb3="00000000" w:csb0="00080000" w:csb1="00000000"/>
    <w:embedRegular r:id="rId8" w:fontKey="{1934216D-D2D7-4A53-8B46-DC6AEA719E7B}"/>
  </w:font>
  <w:font w:name="DengXian-Regular">
    <w:altName w:val="宋体"/>
    <w:panose1 w:val="00000000000000000000"/>
    <w:charset w:val="86"/>
    <w:family w:val="auto"/>
    <w:pitch w:val="default"/>
    <w:sig w:usb0="00000000" w:usb1="00000000" w:usb2="00000010" w:usb3="00000000" w:csb0="00040001" w:csb1="00000000"/>
    <w:embedRegular r:id="rId9" w:fontKey="{943FF1DF-0CFC-45EC-9280-AF3FAD0462B0}"/>
  </w:font>
  <w:font w:name="楷体_GB2312">
    <w:panose1 w:val="02010609030101010101"/>
    <w:charset w:val="86"/>
    <w:family w:val="modern"/>
    <w:pitch w:val="default"/>
    <w:sig w:usb0="00000001" w:usb1="080E0000" w:usb2="00000000" w:usb3="00000000" w:csb0="00040000" w:csb1="00000000"/>
    <w:embedRegular r:id="rId10" w:fontKey="{6C388C23-1AC1-4F21-BBCD-F07EFCC0CB79}"/>
  </w:font>
  <w:font w:name="DengXian-Bold">
    <w:altName w:val="宋体"/>
    <w:panose1 w:val="00000000000000000000"/>
    <w:charset w:val="86"/>
    <w:family w:val="auto"/>
    <w:pitch w:val="default"/>
    <w:sig w:usb0="00000000" w:usb1="00000000" w:usb2="00000010" w:usb3="00000000" w:csb0="00040001" w:csb1="00000000"/>
    <w:embedRegular r:id="rId11" w:fontKey="{010327AD-B562-4683-8E16-7D39D0206587}"/>
  </w:font>
  <w:font w:name="微软雅黑">
    <w:panose1 w:val="020B0503020204020204"/>
    <w:charset w:val="86"/>
    <w:family w:val="swiss"/>
    <w:pitch w:val="default"/>
    <w:sig w:usb0="80000287" w:usb1="280F3C52" w:usb2="00000016" w:usb3="00000000" w:csb0="0004001F" w:csb1="00000000"/>
    <w:embedRegular r:id="rId12" w:fontKey="{9CA4C795-2A37-4E62-BFB3-2682D67F1AD8}"/>
  </w:font>
  <w:font w:name="___WRD_EMBED_SUB_43">
    <w:panose1 w:val="02010609030101010101"/>
    <w:charset w:val="86"/>
    <w:family w:val="modern"/>
    <w:pitch w:val="default"/>
    <w:sig w:usb0="00000000" w:usb1="00000000" w:usb2="00000000" w:usb3="00000000" w:csb0="00000000" w:csb1="00000000"/>
    <w:embedRegular r:id="rId13" w:fontKey="{F838CBD9-E8CE-4AED-9F3B-373C78EE5F09}"/>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80939"/>
    <w:multiLevelType w:val="singleLevel"/>
    <w:tmpl w:val="30380939"/>
    <w:lvl w:ilvl="0" w:tentative="0">
      <w:start w:val="1"/>
      <w:numFmt w:val="chineseCounting"/>
      <w:suff w:val="space"/>
      <w:lvlText w:val="第%1部分"/>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4E7F"/>
    <w:rsid w:val="000475A0"/>
    <w:rsid w:val="000477D1"/>
    <w:rsid w:val="000838C3"/>
    <w:rsid w:val="000B2446"/>
    <w:rsid w:val="000D7C65"/>
    <w:rsid w:val="000E2F81"/>
    <w:rsid w:val="00117946"/>
    <w:rsid w:val="00117E2C"/>
    <w:rsid w:val="00146C47"/>
    <w:rsid w:val="00152FB8"/>
    <w:rsid w:val="00176658"/>
    <w:rsid w:val="0018239E"/>
    <w:rsid w:val="001B3410"/>
    <w:rsid w:val="001C030D"/>
    <w:rsid w:val="001C4A84"/>
    <w:rsid w:val="001E5902"/>
    <w:rsid w:val="001E654E"/>
    <w:rsid w:val="00233705"/>
    <w:rsid w:val="002416AE"/>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10FCC"/>
    <w:rsid w:val="00431175"/>
    <w:rsid w:val="004B6E37"/>
    <w:rsid w:val="004C32BA"/>
    <w:rsid w:val="00575922"/>
    <w:rsid w:val="005A6C90"/>
    <w:rsid w:val="005E3FB0"/>
    <w:rsid w:val="005F4B66"/>
    <w:rsid w:val="005F5208"/>
    <w:rsid w:val="00641318"/>
    <w:rsid w:val="0064405D"/>
    <w:rsid w:val="006624F0"/>
    <w:rsid w:val="00695557"/>
    <w:rsid w:val="006D4EA7"/>
    <w:rsid w:val="0070012A"/>
    <w:rsid w:val="0070664B"/>
    <w:rsid w:val="007071B8"/>
    <w:rsid w:val="007414DE"/>
    <w:rsid w:val="007905A9"/>
    <w:rsid w:val="00794EE6"/>
    <w:rsid w:val="007E5500"/>
    <w:rsid w:val="007F055B"/>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74D39"/>
    <w:rsid w:val="00B91DA4"/>
    <w:rsid w:val="00C12630"/>
    <w:rsid w:val="00C34562"/>
    <w:rsid w:val="00C3774E"/>
    <w:rsid w:val="00C57456"/>
    <w:rsid w:val="00C65387"/>
    <w:rsid w:val="00C87FAB"/>
    <w:rsid w:val="00C91FF7"/>
    <w:rsid w:val="00C94E53"/>
    <w:rsid w:val="00CB0B86"/>
    <w:rsid w:val="00D0048E"/>
    <w:rsid w:val="00D23E7A"/>
    <w:rsid w:val="00D61063"/>
    <w:rsid w:val="00D7474A"/>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1C84418"/>
    <w:rsid w:val="03083DCD"/>
    <w:rsid w:val="031C4B23"/>
    <w:rsid w:val="04073F84"/>
    <w:rsid w:val="04BE7283"/>
    <w:rsid w:val="050E12A0"/>
    <w:rsid w:val="056421D1"/>
    <w:rsid w:val="07156EB3"/>
    <w:rsid w:val="08925403"/>
    <w:rsid w:val="0B60750A"/>
    <w:rsid w:val="0B867740"/>
    <w:rsid w:val="0DF743FC"/>
    <w:rsid w:val="0F162F05"/>
    <w:rsid w:val="10686488"/>
    <w:rsid w:val="108F081D"/>
    <w:rsid w:val="10DF728A"/>
    <w:rsid w:val="1264200E"/>
    <w:rsid w:val="141C5B77"/>
    <w:rsid w:val="15C440DA"/>
    <w:rsid w:val="17A65B9C"/>
    <w:rsid w:val="18D8339D"/>
    <w:rsid w:val="1A21388F"/>
    <w:rsid w:val="1A570D2F"/>
    <w:rsid w:val="1AD26819"/>
    <w:rsid w:val="1BB3196A"/>
    <w:rsid w:val="1F9B606C"/>
    <w:rsid w:val="21211355"/>
    <w:rsid w:val="215A7858"/>
    <w:rsid w:val="22AE2C99"/>
    <w:rsid w:val="24777DD8"/>
    <w:rsid w:val="24D623F9"/>
    <w:rsid w:val="24F2352B"/>
    <w:rsid w:val="2870725A"/>
    <w:rsid w:val="28A92F22"/>
    <w:rsid w:val="28DE6640"/>
    <w:rsid w:val="28F53F7A"/>
    <w:rsid w:val="28FB0B8D"/>
    <w:rsid w:val="2A733ECB"/>
    <w:rsid w:val="2CCA6E8D"/>
    <w:rsid w:val="2D2B7942"/>
    <w:rsid w:val="2D46481D"/>
    <w:rsid w:val="2E336C5B"/>
    <w:rsid w:val="2E733B28"/>
    <w:rsid w:val="2ED41A4C"/>
    <w:rsid w:val="2F0E70A5"/>
    <w:rsid w:val="2F9D0DA4"/>
    <w:rsid w:val="307F0F99"/>
    <w:rsid w:val="312B5719"/>
    <w:rsid w:val="318030DE"/>
    <w:rsid w:val="31852B5A"/>
    <w:rsid w:val="31C042FE"/>
    <w:rsid w:val="31C854D7"/>
    <w:rsid w:val="32D01238"/>
    <w:rsid w:val="32DB4613"/>
    <w:rsid w:val="334503B8"/>
    <w:rsid w:val="348F6135"/>
    <w:rsid w:val="35F22561"/>
    <w:rsid w:val="384929EC"/>
    <w:rsid w:val="38724785"/>
    <w:rsid w:val="3AC135AD"/>
    <w:rsid w:val="3B2C4B7A"/>
    <w:rsid w:val="3B9410F9"/>
    <w:rsid w:val="3C121C98"/>
    <w:rsid w:val="3DFC59A8"/>
    <w:rsid w:val="3ECF245E"/>
    <w:rsid w:val="3FB96314"/>
    <w:rsid w:val="41677F30"/>
    <w:rsid w:val="43A62054"/>
    <w:rsid w:val="48D92499"/>
    <w:rsid w:val="4BC529A6"/>
    <w:rsid w:val="4EF96F74"/>
    <w:rsid w:val="50DC5C43"/>
    <w:rsid w:val="51F2077A"/>
    <w:rsid w:val="52F83297"/>
    <w:rsid w:val="531630FB"/>
    <w:rsid w:val="53A44FAF"/>
    <w:rsid w:val="54582FC1"/>
    <w:rsid w:val="56641108"/>
    <w:rsid w:val="594329EC"/>
    <w:rsid w:val="5A0B3243"/>
    <w:rsid w:val="5A0C0C27"/>
    <w:rsid w:val="5BEE1540"/>
    <w:rsid w:val="5C472F89"/>
    <w:rsid w:val="5DA70C84"/>
    <w:rsid w:val="5DE61A5D"/>
    <w:rsid w:val="63C04243"/>
    <w:rsid w:val="649C01C7"/>
    <w:rsid w:val="64B33427"/>
    <w:rsid w:val="667F6C2D"/>
    <w:rsid w:val="675401A3"/>
    <w:rsid w:val="687621BC"/>
    <w:rsid w:val="68C85771"/>
    <w:rsid w:val="699A3F60"/>
    <w:rsid w:val="69E94270"/>
    <w:rsid w:val="6C8B63B9"/>
    <w:rsid w:val="6DAE7DF2"/>
    <w:rsid w:val="6E6B6825"/>
    <w:rsid w:val="6E854E39"/>
    <w:rsid w:val="6FC369F5"/>
    <w:rsid w:val="70575CB3"/>
    <w:rsid w:val="709A4106"/>
    <w:rsid w:val="715644DE"/>
    <w:rsid w:val="72902E62"/>
    <w:rsid w:val="72FD238A"/>
    <w:rsid w:val="73C61104"/>
    <w:rsid w:val="76692380"/>
    <w:rsid w:val="76C77EAF"/>
    <w:rsid w:val="775909B9"/>
    <w:rsid w:val="776452EA"/>
    <w:rsid w:val="78E01146"/>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字符"/>
    <w:basedOn w:val="14"/>
    <w:link w:val="17"/>
    <w:qFormat/>
    <w:uiPriority w:val="1"/>
    <w:rPr>
      <w:kern w:val="0"/>
      <w:sz w:val="22"/>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character" w:customStyle="1" w:styleId="20">
    <w:name w:val="标题 字符"/>
    <w:basedOn w:val="14"/>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字符"/>
    <w:basedOn w:val="14"/>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字符"/>
    <w:basedOn w:val="14"/>
    <w:link w:val="2"/>
    <w:qFormat/>
    <w:uiPriority w:val="9"/>
    <w:rPr>
      <w:rFonts w:ascii="Times New Roman" w:hAnsi="Times New Roman" w:eastAsia="宋体" w:cs="Times New Roman"/>
      <w:b/>
      <w:bCs/>
      <w:kern w:val="44"/>
      <w:sz w:val="44"/>
      <w:szCs w:val="44"/>
    </w:rPr>
  </w:style>
  <w:style w:type="character" w:customStyle="1" w:styleId="28">
    <w:name w:val="标题 2 字符"/>
    <w:basedOn w:val="14"/>
    <w:link w:val="3"/>
    <w:qFormat/>
    <w:uiPriority w:val="9"/>
    <w:rPr>
      <w:rFonts w:asciiTheme="majorHAnsi" w:hAnsiTheme="majorHAnsi" w:eastAsiaTheme="majorEastAsia" w:cstheme="majorBidi"/>
      <w:b/>
      <w:bCs/>
      <w:sz w:val="32"/>
      <w:szCs w:val="32"/>
    </w:rPr>
  </w:style>
  <w:style w:type="character" w:customStyle="1" w:styleId="29">
    <w:name w:val="标题 3 字符"/>
    <w:basedOn w:val="14"/>
    <w:link w:val="4"/>
    <w:qFormat/>
    <w:uiPriority w:val="9"/>
    <w:rPr>
      <w:rFonts w:ascii="Times New Roman" w:hAnsi="Times New Roman" w:eastAsia="宋体" w:cs="Times New Roman"/>
      <w:b/>
      <w:bCs/>
      <w:sz w:val="32"/>
      <w:szCs w:val="32"/>
    </w:rPr>
  </w:style>
  <w:style w:type="character" w:customStyle="1" w:styleId="30">
    <w:name w:val="标题 4 字符"/>
    <w:basedOn w:val="14"/>
    <w:link w:val="5"/>
    <w:qFormat/>
    <w:uiPriority w:val="9"/>
    <w:rPr>
      <w:rFonts w:asciiTheme="majorHAnsi" w:hAnsiTheme="majorHAnsi" w:eastAsiaTheme="majorEastAsia" w:cstheme="majorBidi"/>
      <w:b/>
      <w:bCs/>
      <w:sz w:val="28"/>
      <w:szCs w:val="28"/>
    </w:rPr>
  </w:style>
  <w:style w:type="character" w:customStyle="1" w:styleId="31">
    <w:name w:val="日期 字符"/>
    <w:basedOn w:val="14"/>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654FA-BD34-40FD-AB79-C82D5DE6172B}">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1043</Words>
  <Characters>5949</Characters>
  <Lines>49</Lines>
  <Paragraphs>13</Paragraphs>
  <TotalTime>4</TotalTime>
  <ScaleCrop>false</ScaleCrop>
  <LinksUpToDate>false</LinksUpToDate>
  <CharactersWithSpaces>6979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七月</cp:lastModifiedBy>
  <cp:lastPrinted>2019-08-02T01:01:00Z</cp:lastPrinted>
  <dcterms:modified xsi:type="dcterms:W3CDTF">2021-04-28T09:18:20Z</dcterms:modified>
  <dc:subject>石家庄市xxx部门</dc:subject>
  <dc:title>2017年度部门决算</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12A204760CB44119A1C2724E64AC303E</vt:lpwstr>
  </property>
</Properties>
</file>