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pgSz w:w="11906" w:h="16838"/>
          <w:pgMar w:top="0" w:right="0" w:bottom="0" w:left="0" w:header="851" w:footer="992" w:gutter="0"/>
          <w:cols w:space="425" w:num="1"/>
          <w:titlePg/>
          <w:docGrid w:type="lines" w:linePitch="312" w:charSpace="0"/>
        </w:sectPr>
      </w:pPr>
      <w:r>
        <mc:AlternateContent>
          <mc:Choice Requires="wpg">
            <w:drawing>
              <wp:anchor distT="0" distB="0" distL="114300" distR="114300" simplePos="0" relativeHeight="251650048" behindDoc="1" locked="0" layoutInCell="1" allowOverlap="1">
                <wp:simplePos x="0" y="0"/>
                <wp:positionH relativeFrom="column">
                  <wp:posOffset>-3810</wp:posOffset>
                </wp:positionH>
                <wp:positionV relativeFrom="paragraph">
                  <wp:posOffset>50165</wp:posOffset>
                </wp:positionV>
                <wp:extent cx="7623175" cy="3765550"/>
                <wp:effectExtent l="0" t="0" r="15875" b="6350"/>
                <wp:wrapNone/>
                <wp:docPr id="4" name="组合 9"/>
                <wp:cNvGraphicFramePr/>
                <a:graphic xmlns:a="http://schemas.openxmlformats.org/drawingml/2006/main">
                  <a:graphicData uri="http://schemas.microsoft.com/office/word/2010/wordprocessingGroup">
                    <wpg:wgp>
                      <wpg:cNvGrpSpPr/>
                      <wpg:grpSpPr>
                        <a:xfrm>
                          <a:off x="0" y="0"/>
                          <a:ext cx="7623175" cy="3765295"/>
                          <a:chOff x="13622" y="283"/>
                          <a:chExt cx="12005" cy="6191"/>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wps:wsp>
                      <wps:wsp>
                        <wps:cNvPr id="11" name="文本框 10"/>
                        <wps:cNvSpPr txBox="1"/>
                        <wps:spPr>
                          <a:xfrm>
                            <a:off x="17229" y="5021"/>
                            <a:ext cx="8083" cy="1453"/>
                          </a:xfrm>
                          <a:prstGeom prst="rect">
                            <a:avLst/>
                          </a:prstGeom>
                          <a:noFill/>
                          <a:ln>
                            <a:noFill/>
                          </a:ln>
                          <a:effectLst/>
                        </wps:spPr>
                        <wps:txbx>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wps:txbx>
                        <wps:bodyPr wrap="square" rtlCol="0">
                          <a:spAutoFit/>
                        </wps:bodyPr>
                      </wps:wsp>
                    </wpg:wgp>
                  </a:graphicData>
                </a:graphic>
              </wp:anchor>
            </w:drawing>
          </mc:Choice>
          <mc:Fallback>
            <w:pict>
              <v:group id="组合 9" o:spid="_x0000_s1026" o:spt="203" style="position:absolute;left:0pt;margin-left:-0.3pt;margin-top:3.95pt;height:296.5pt;width:600.25pt;z-index:-251666432;mso-width-relative:page;mso-height-relative:page;" coordorigin="13622,283" coordsize="12005,6191" o:gfxdata="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IIZLo2AAAAAgBAAAPAAAAAAAAAAEAIAAA&#10;ACIAAABkcnMvZG93bnJldi54bWxQSwECFAAUAAAACACHTuJAbBsp3bcCAABxBgAADgAAAAAAAAAB&#10;ACAAAAAnAQAAZHJzL2Uyb0RvYy54bWxQSwUGAAAAAAYABgBZAQAAUA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453;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55168;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9lks2QAA&#10;AA4BAAAPAAAAAAAAAAEAIAAAACIAAABkcnMvZG93bnJldi54bWxQSwECFAAUAAAACACHTuJAHHnF&#10;jKsBAAA3AwAADgAAAAAAAAABACAAAAAoAQAAZHJzL2Uyb0RvYy54bWxQSwUGAAAAAAYABgBZAQAA&#10;RQUAAAAA&#10;">
                <v:fill on="f" focussize="0,0"/>
                <v:stroke on="f"/>
                <v:imagedata o:title=""/>
                <o:lock v:ext="edit" aspectratio="f"/>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52096;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bJc57ZAAAACwEAAA8AAAAA&#10;AAAAAQAgAAAAIgAAAGRycy9kb3ducmV2LnhtbFBLAQIUABQAAAAIAIdO4kB/0Rv22gEAAJUDAAAO&#10;AAAAAAAAAAEAIAAAACgBAABkcnMvZTJvRG9jLnhtbFBLBQYAAAAABgAGAFkBAAB0BQ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57216;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pVqbnZAAAA&#10;CgEAAA8AAAAAAAAAAQAgAAAAIgAAAGRycy9kb3ducmV2LnhtbFBLAQIUABQAAAAIAIdO4kA98hta&#10;qgEAACoDAAAOAAAAAAAAAAEAIAAAACgBAABkcnMvZTJvRG9jLnhtbFBLBQYAAAAABgAGAFkBAABE&#10;BQAAAAA=&#10;">
                <v:fill on="f" focussize="0,0"/>
                <v:stroke on="f"/>
                <v:imagedata o:title=""/>
                <o:lock v:ext="edit" aspectratio="f"/>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5619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QK&#10;GC7YAAAACwEAAA8AAAAAAAAAAQAgAAAAIgAAAGRycy9kb3ducmV2LnhtbFBLAQIUABQAAAAIAIdO&#10;4kB3VAYM6gEAAKEDAAAOAAAAAAAAAAEAIAAAACcBAABkcnMvZTJvRG9jLnhtbFBLBQYAAAAABgAG&#10;AFkBAACDBQ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g">
            <w:drawing>
              <wp:anchor distT="0" distB="0" distL="114300" distR="114300" simplePos="0" relativeHeight="251653120"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6"/>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wps:wsp>
                    </wpg:wgp>
                  </a:graphicData>
                </a:graphic>
              </wp:anchor>
            </w:drawing>
          </mc:Choice>
          <mc:Fallback>
            <w:pict>
              <v:group id="组合 6" o:spid="_x0000_s1026" o:spt="203" style="position:absolute;left:0pt;margin-left:1.25pt;margin-top:821.7pt;height:21.45pt;width:595.25pt;z-index:251653120;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XJ8l2gAAAAwBAAAPAAAAAAAAAAEAIAAA&#10;ACIAAABkcnMvZG93bnJldi54bWxQSwECFAAUAAAACACHTuJAvICuYHwCAAC/BgAADgAAAAAAAAAB&#10;ACAAAAApAQAAZHJzL2Uyb0RvYy54bWxQSwUGAAAAAAYABgBZAQAAFwY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5414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WZBfR2wAAAAwBAAAPAAAAAAAAAAEAIAAA&#10;ACIAAABkcnMvZG93bnJldi54bWxQSwECFAAUAAAACACHTuJAcMDgn5cBAAAdAwAADgAAAAAAAAAB&#10;ACAAAAAqAQAAZHJzL2Uyb0RvYy54bWxQSwUGAAAAAAYABgBZAQAAMwU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p>
    <w:p>
      <w:pPr>
        <w:tabs>
          <w:tab w:val="left" w:pos="2728"/>
        </w:tabs>
        <w:rPr>
          <w:rFonts w:ascii="黑体" w:hAnsi="Times New Roman" w:eastAsia="黑体"/>
          <w:sz w:val="48"/>
          <w:szCs w:val="48"/>
        </w:rPr>
      </w:pPr>
      <w:r>
        <w:rPr>
          <w:rFonts w:ascii="黑体" w:hAnsi="Times New Roman" w:eastAsia="黑体"/>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ascii="黑体" w:hAnsi="黑体" w:eastAsia="黑体" w:cs="黑体"/>
          <w:b/>
          <w:bCs/>
          <w:sz w:val="72"/>
          <w:szCs w:val="96"/>
        </w:rPr>
        <w:t>2019</w:t>
      </w:r>
      <w:r>
        <w:rPr>
          <w:rFonts w:hint="eastAsia" w:ascii="黑体" w:hAnsi="黑体" w:eastAsia="黑体" w:cs="黑体"/>
          <w:b/>
          <w:bCs/>
          <w:sz w:val="72"/>
          <w:szCs w:val="96"/>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kern w:val="0"/>
          <w:sz w:val="44"/>
          <w:szCs w:val="44"/>
          <w:lang w:eastAsia="zh-CN"/>
        </w:rPr>
      </w:pPr>
      <w:r>
        <w:rPr>
          <w:rFonts w:hint="eastAsia" w:ascii="楷体_GB2312" w:hAnsi="楷体_GB2312" w:eastAsia="楷体_GB2312" w:cs="楷体_GB2312"/>
          <w:color w:val="000000"/>
          <w:kern w:val="0"/>
          <w:sz w:val="44"/>
          <w:szCs w:val="44"/>
          <w:lang w:eastAsia="zh-CN"/>
        </w:rPr>
        <w:t>保定市清苑区人民法院</w:t>
      </w:r>
    </w:p>
    <w:p>
      <w:pPr>
        <w:snapToGrid w:val="0"/>
        <w:jc w:val="center"/>
        <w:rPr>
          <w:rFonts w:ascii="楷体_GB2312" w:hAnsi="楷体_GB2312" w:eastAsia="楷体_GB2312" w:cs="楷体_GB2312"/>
          <w:color w:val="000000"/>
          <w:kern w:val="0"/>
          <w:sz w:val="44"/>
          <w:szCs w:val="44"/>
        </w:rPr>
        <w:sectPr>
          <w:headerReference r:id="rId4" w:type="first"/>
          <w:footerReference r:id="rId5" w:type="first"/>
          <w:headerReference r:id="rId3"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rPr>
        <w:t>二〇二〇年八月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7" w:type="first"/>
          <w:footerReference r:id="rId9" w:type="first"/>
          <w:headerReference r:id="rId6" w:type="default"/>
          <w:footerReference r:id="rId8"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mc:AlternateContent>
          <mc:Choice Requires="wps">
            <w:drawing>
              <wp:anchor distT="0" distB="0" distL="114300" distR="114300" simplePos="0" relativeHeight="251658240"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3" name="文本框 1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wps:txbx>
                      <wps:bodyPr anchor="ctr" upright="1"/>
                    </wps:wsp>
                  </a:graphicData>
                </a:graphic>
              </wp:anchor>
            </w:drawing>
          </mc:Choice>
          <mc:Fallback>
            <w:pict>
              <v:shape id="文本框 13" o:spid="_x0000_s1026"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OEk92wAA&#10;AA0BAAAPAAAAAAAAAAEAIAAAACIAAABkcnMvZG93bnJldi54bWxQSwECFAAUAAAACACHTuJAmPva&#10;oxsCAABBBAAADgAAAAAAAAABACAAAAAqAQAAZHJzL2Uyb0RvYy54bWxQSwUGAAAAAAYABgBZAQAA&#10;twUAAAAA&#10;">
                <v:fill type="pattern" on="t" color2="#FFFFFF" focussize="0,0" r:id="rId13"/>
                <v:stroke weight="1pt" color="#FFD966" joinstyle="round"/>
                <v:imagedata o:title=""/>
                <o:lock v:ext="edit" aspectratio="f"/>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根据中共清苑县委办公室《关于印发清苑县人民法院职能配置、内设机构和人员编制规定的通知》（清办字[2002]48号），现将我院部门概况说明如下：</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（一）依法审判法律规定的由本院管辖的刑事、民事、行政等第一审案件。</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（二）依法审判刑事、民事、行政等按照审判监督程序提起的再审案件和二审法院发还重审的案件。</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（三）依法办理发生法律效力的刑事、民事、行政的执行事项；办理法律规定由法院执行的其他法律文书的执行事项。</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（四）依法行使司法决定权</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（五）针对案件审理中发现的问题提出司法建设意见。</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（六）负责审判工作的调查研究，总结审判工作经验，工作中就适用法律、政策问题进行请示，负责全院的司法统计工作。</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（七）对本院的法官和其他工作人员进行思想政治教育，组织专业培训；协助主管部门管理机构编制工作，按照权限管理法官和其他工作人员。</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（八）管理人民法院的有关经费和物资装备</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（九）负责人民法院的司法技术鉴定工作</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（十）在审判工作中，宣传法制，指导民调工作，教育公民忠于社会主义祖国，自觉遵守宪法、法律、和社会公德。</w:t>
      </w:r>
    </w:p>
    <w:p>
      <w:pPr>
        <w:keepNext/>
        <w:keepLines/>
        <w:spacing w:line="580" w:lineRule="exact"/>
        <w:ind w:firstLine="640" w:firstLineChars="200"/>
        <w:jc w:val="left"/>
        <w:outlineLvl w:val="0"/>
        <w:rPr>
          <w:rFonts w:hint="eastAsia" w:ascii="仿宋" w:hAnsi="仿宋" w:eastAsia="仿宋" w:cs="仿宋_GB2312"/>
          <w:sz w:val="32"/>
          <w:szCs w:val="32"/>
        </w:rPr>
      </w:pPr>
      <w:r>
        <w:rPr>
          <w:rFonts w:hint="eastAsia" w:ascii="仿宋" w:hAnsi="仿宋" w:eastAsia="仿宋" w:cs="仿宋_GB2312"/>
          <w:sz w:val="32"/>
          <w:szCs w:val="32"/>
        </w:rPr>
        <w:t>（十一）承办其他应由基层人民法院负责的工作。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tcBorders>
              <w:left w:val="nil"/>
              <w:bottom w:val="nil"/>
              <w:right w:val="nil"/>
            </w:tcBorders>
          </w:tcPr>
          <w:p>
            <w:pPr>
              <w:spacing w:after="0" w:line="560" w:lineRule="exact"/>
              <w:ind w:firstLine="640" w:firstLineChars="200"/>
              <w:rPr>
                <w:rFonts w:ascii="宋体" w:hAnsi="宋体" w:cs="宋体"/>
                <w:sz w:val="28"/>
                <w:szCs w:val="28"/>
              </w:rPr>
            </w:pPr>
            <w:r>
              <w:rPr>
                <w:rFonts w:hint="eastAsia" w:ascii="仿宋_GB2312" w:eastAsia="仿宋_GB2312" w:cs="ArialUnicodeMS" w:hAnsiTheme="minorHAnsi"/>
                <w:kern w:val="0"/>
                <w:sz w:val="32"/>
                <w:szCs w:val="32"/>
              </w:rPr>
              <w:t>从决算编报单位构成看，纳入201</w:t>
            </w:r>
            <w:r>
              <w:rPr>
                <w:rFonts w:hint="eastAsia" w:ascii="仿宋_GB2312" w:eastAsia="仿宋_GB2312" w:cs="ArialUnicodeMS" w:hAnsiTheme="minorHAnsi"/>
                <w:kern w:val="0"/>
                <w:sz w:val="32"/>
                <w:szCs w:val="32"/>
                <w:lang w:val="en-US" w:eastAsia="zh-CN"/>
              </w:rPr>
              <w:t>9</w:t>
            </w:r>
            <w:r>
              <w:rPr>
                <w:rFonts w:hint="eastAsia" w:ascii="仿宋_GB2312" w:eastAsia="仿宋_GB2312" w:cs="ArialUnicodeMS" w:hAnsiTheme="minorHAnsi"/>
                <w:kern w:val="0"/>
                <w:sz w:val="32"/>
                <w:szCs w:val="32"/>
              </w:rPr>
              <w:t xml:space="preserve"> 年度本部门决算汇编范围的独立核算单位（以下简称“单位”）共 1个，具体情况如下：</w:t>
            </w:r>
            <w:r>
              <w:rPr>
                <w:rFonts w:ascii="宋体" w:hAnsi="宋体" w:cs="宋体"/>
                <w:sz w:val="28"/>
                <w:szCs w:val="28"/>
              </w:rPr>
              <w:t xml:space="preserve"> </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保定市清苑区人民法院</w:t>
                  </w:r>
                </w:p>
              </w:tc>
              <w:tc>
                <w:tcPr>
                  <w:tcW w:w="244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行政单位</w:t>
                  </w:r>
                </w:p>
              </w:tc>
              <w:tc>
                <w:tcPr>
                  <w:tcW w:w="266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ab/>
                  </w:r>
                  <w:r>
                    <w:rPr>
                      <w:rFonts w:hint="eastAsia" w:ascii="仿宋" w:hAnsi="仿宋" w:eastAsia="仿宋" w:cs="仿宋_GB2312"/>
                      <w:sz w:val="32"/>
                      <w:szCs w:val="32"/>
                    </w:rPr>
                    <w:t>保定市清苑区人民法院单位性质为行政单位，经费保障形式为财政拨款。法院内设办公室、</w:t>
                  </w:r>
                  <w:r>
                    <w:rPr>
                      <w:rFonts w:hint="eastAsia" w:ascii="仿宋" w:hAnsi="仿宋" w:eastAsia="仿宋" w:cs="仿宋_GB2312"/>
                      <w:sz w:val="32"/>
                      <w:szCs w:val="32"/>
                      <w:lang w:eastAsia="zh-CN"/>
                    </w:rPr>
                    <w:t>审监室</w:t>
                  </w:r>
                  <w:r>
                    <w:rPr>
                      <w:rFonts w:hint="eastAsia" w:ascii="仿宋" w:hAnsi="仿宋" w:eastAsia="仿宋" w:cs="仿宋_GB2312"/>
                      <w:sz w:val="32"/>
                      <w:szCs w:val="32"/>
                    </w:rPr>
                    <w:t>、</w:t>
                  </w:r>
                  <w:r>
                    <w:rPr>
                      <w:rFonts w:hint="eastAsia" w:ascii="仿宋" w:hAnsi="仿宋" w:eastAsia="仿宋" w:cs="仿宋_GB2312"/>
                      <w:sz w:val="32"/>
                      <w:szCs w:val="32"/>
                      <w:lang w:eastAsia="zh-CN"/>
                    </w:rPr>
                    <w:t>诉讼服务中心</w:t>
                  </w:r>
                  <w:r>
                    <w:rPr>
                      <w:rFonts w:hint="eastAsia" w:ascii="仿宋" w:hAnsi="仿宋" w:eastAsia="仿宋" w:cs="仿宋_GB2312"/>
                      <w:sz w:val="32"/>
                      <w:szCs w:val="32"/>
                    </w:rPr>
                    <w:t>、</w:t>
                  </w:r>
                  <w:r>
                    <w:rPr>
                      <w:rFonts w:hint="eastAsia" w:ascii="仿宋" w:hAnsi="仿宋" w:eastAsia="仿宋" w:cs="仿宋_GB2312"/>
                      <w:sz w:val="32"/>
                      <w:szCs w:val="32"/>
                      <w:lang w:eastAsia="zh-CN"/>
                    </w:rPr>
                    <w:t>政治部、</w:t>
                  </w:r>
                  <w:r>
                    <w:rPr>
                      <w:rFonts w:hint="eastAsia" w:ascii="仿宋" w:hAnsi="仿宋" w:eastAsia="仿宋" w:cs="仿宋_GB2312"/>
                      <w:sz w:val="32"/>
                      <w:szCs w:val="32"/>
                    </w:rPr>
                    <w:t>民事审判庭、刑事审判庭、行政审判庭、执行局（庭）、司法法警大队等共</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个部门；下设5个人民法庭。本法院现有编制89名，实有人数</w:t>
                  </w:r>
                  <w:r>
                    <w:rPr>
                      <w:rFonts w:hint="eastAsia" w:ascii="仿宋" w:hAnsi="仿宋" w:eastAsia="仿宋" w:cs="仿宋_GB2312"/>
                      <w:sz w:val="32"/>
                      <w:szCs w:val="32"/>
                      <w:lang w:val="en-US" w:eastAsia="zh-CN"/>
                    </w:rPr>
                    <w:t>82</w:t>
                  </w:r>
                  <w:r>
                    <w:rPr>
                      <w:rFonts w:hint="eastAsia" w:ascii="仿宋" w:hAnsi="仿宋" w:eastAsia="仿宋" w:cs="仿宋_GB2312"/>
                      <w:sz w:val="32"/>
                      <w:szCs w:val="32"/>
                    </w:rPr>
                    <w:t>人。</w:t>
                  </w:r>
                </w:p>
                <w:p>
                  <w:pPr>
                    <w:spacing w:after="0" w:line="560" w:lineRule="exact"/>
                    <w:ind w:firstLine="560" w:firstLineChars="200"/>
                    <w:jc w:val="left"/>
                    <w:rPr>
                      <w:rFonts w:ascii="仿宋_GB2312" w:eastAsia="仿宋_GB2312" w:cs="ArialUnicodeMS" w:hAnsiTheme="minorHAnsi"/>
                      <w:kern w:val="0"/>
                      <w:sz w:val="28"/>
                      <w:szCs w:val="28"/>
                    </w:rPr>
                  </w:pPr>
                </w:p>
              </w:tc>
            </w:tr>
          </w:tbl>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ro+T3gAAAA0BAAAPAAAAAAAAAAEAIAAAACIAAABkcnMvZG93bnJldi54bWxQSwEC&#10;FAAUAAAACACHTuJA1ZVcsScCAAArBAAADgAAAAAAAAABACAAAAAtAQAAZHJzL2Uyb0RvYy54bWxQ&#10;SwUGAAAAAAYABgBZAQAAxgUAAAAA&#10;">
                <v:fill on="f" focussize="0,0"/>
                <v:stroke on="f" weight="0.5pt"/>
                <v:imagedata o:title=""/>
                <o:lock v:ext="edit" aspectratio="f"/>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mc:AlternateContent>
          <mc:Choice Requires="wps">
            <w:drawing>
              <wp:anchor distT="0" distB="0" distL="114300" distR="114300" simplePos="0" relativeHeight="25166438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4"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wps:txbx>
                      <wps:bodyPr anchor="ctr" upright="1"/>
                    </wps:wsp>
                  </a:graphicData>
                </a:graphic>
              </wp:anchor>
            </w:drawing>
          </mc:Choice>
          <mc:Fallback>
            <w:pict>
              <v:shape id="文本框 15" o:spid="_x0000_s1026" o:spt="202" type="#_x0000_t202" style="position:absolute;left:0pt;margin-left:-90.8pt;margin-top:4.35pt;height:263.1pt;width:613.65pt;z-index:251664384;v-text-anchor:middle;mso-width-relative:page;mso-height-relative:page;" fillcolor="#FFD966" filled="t" stroked="t" coordsize="21600,21600" o:gfxdata="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tFFiXXAAAACwEA&#10;AA8AAAAAAAAAAQAgAAAAIgAAAGRycy9kb3ducmV2LnhtbFBLAQIUABQAAAAIAIdO4kCXHkh0GwIA&#10;AEEEAAAOAAAAAAAAAAEAIAAAACYBAABkcnMvZTJvRG9jLnhtbFBLBQYAAAAABgAGAFkBAACzBQAA&#10;AAA=&#10;">
                <v:fill type="pattern" on="t" color2="#FFFFFF" focussize="0,0" r:id="rId13"/>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numPr>
          <w:ilvl w:val="0"/>
          <w:numId w:val="1"/>
        </w:numPr>
        <w:snapToGrid w:val="0"/>
        <w:spacing w:line="580" w:lineRule="exact"/>
        <w:ind w:firstLine="640" w:firstLineChars="200"/>
        <w:outlineLvl w:val="1"/>
        <w:rPr>
          <w:rFonts w:hint="eastAsia" w:ascii="黑体" w:hAnsi="Calibri" w:eastAsia="黑体"/>
          <w:sz w:val="32"/>
          <w:szCs w:val="32"/>
        </w:rPr>
      </w:pPr>
      <w:r>
        <w:rPr>
          <w:rFonts w:hint="eastAsia" w:ascii="黑体" w:hAnsi="Calibri" w:eastAsia="黑体"/>
          <w:sz w:val="32"/>
          <w:szCs w:val="32"/>
        </w:rPr>
        <w:t>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本部门2019年度收入或支出总计（含结转和结余）2168.66万元。与2018年度决算相比，与年初预算数相比，收入或支出各增加了41.48万元，增加了1.95%，主要原因是案件数量增多和人员待遇增加。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2019年度我院决算收入总额为1931.66万元，全部为一般公共决算财政拨款收入，没有政府性基金拨款收入和国有资本经营决算安排的收入；部门决算支出总额为2018.74万元，其中人员经费1326.16万元，公用经费295.40万元，项目支出397.18万元。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（1）综合收支和上年决算数对比情况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2019年度收入总计1931.66万元，其中：财政拨款收入1931.66万元。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2018年度收入总计2091.90万元，其中：财政拨款收入2127.18万元。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2019年度比2018年度减少了160.24万元。减少了7.66%。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减少原因：2019年度项目减少。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2019年度支出总计2018.74万元，年末结转和结余149.92 万元。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2018年度支出总计1870.45万元，年末结转和结余256.74万元。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2019年度比2018年度增加了148.29万元。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增加原因：2019年度人员待遇增加、受理案件数量增加。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（2）财政拨款支出与年初预算数对比情况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 xml:space="preserve">2019年度财政拨款支出总计2168.66万元，其中：一般公共预算财政拨款2018.74万元、政府性基金预算财政拨款0万元、年末财政拨款结转和结余149.92元。 </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2019年度财政拨款支出年初预算数总计1477.37万元，其中：一般公共预算财政拨款1477.37万元、政府性基金预算财政拨款 0万元、年末财政拨款结转和结余0 元。</w:t>
      </w:r>
    </w:p>
    <w:p>
      <w:pPr>
        <w:keepNext/>
        <w:keepLines/>
        <w:snapToGrid w:val="0"/>
        <w:spacing w:line="580" w:lineRule="exact"/>
        <w:ind w:firstLine="640" w:firstLineChars="200"/>
        <w:outlineLvl w:val="1"/>
        <w:rPr>
          <w:rFonts w:hint="eastAsia"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本部门2019年度本年收入合计1931.66万元，其中：财政拨款收入1931.66万元，占</w:t>
      </w:r>
      <w:r>
        <w:rPr>
          <w:rFonts w:hint="eastAsia" w:ascii="仿宋_GB2312" w:hAnsi="Times New Roman" w:eastAsia="仿宋_GB2312" w:cs="DengXian-Regular"/>
          <w:sz w:val="32"/>
          <w:szCs w:val="32"/>
          <w:lang w:val="en-US" w:eastAsia="zh-CN"/>
        </w:rPr>
        <w:t>100.0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w:t>
      </w:r>
      <w:r>
        <w:rPr>
          <w:rFonts w:hint="eastAsia" w:ascii="仿宋_GB2312" w:hAnsi="Times New Roman" w:eastAsia="仿宋_GB2312" w:cs="DengXian-Regular"/>
          <w:sz w:val="32"/>
          <w:szCs w:val="32"/>
          <w:lang w:val="en-US" w:eastAsia="zh-CN"/>
        </w:rPr>
        <w:t>2018.74</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1621.52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80.33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397.18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19.67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。如图</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所示：</w:t>
      </w:r>
    </w:p>
    <w:p>
      <w:pPr>
        <w:adjustRightInd w:val="0"/>
        <w:snapToGrid w:val="0"/>
        <w:spacing w:line="580" w:lineRule="exact"/>
        <w:ind w:firstLine="1260" w:firstLineChars="600"/>
        <w:rPr>
          <w:rFonts w:ascii="仿宋_GB2312" w:hAnsi="Times New Roman" w:eastAsia="仿宋_GB2312" w:cs="DengXian-Regular"/>
          <w:sz w:val="32"/>
          <w:szCs w:val="32"/>
        </w:rPr>
      </w:pPr>
      <w:r>
        <w:drawing>
          <wp:anchor distT="0" distB="0" distL="114300" distR="114300" simplePos="0" relativeHeight="251667456" behindDoc="0" locked="0" layoutInCell="1" allowOverlap="1">
            <wp:simplePos x="0" y="0"/>
            <wp:positionH relativeFrom="column">
              <wp:posOffset>862330</wp:posOffset>
            </wp:positionH>
            <wp:positionV relativeFrom="paragraph">
              <wp:posOffset>20955</wp:posOffset>
            </wp:positionV>
            <wp:extent cx="3434080" cy="2060575"/>
            <wp:effectExtent l="5080" t="4445" r="8890" b="11430"/>
            <wp:wrapTopAndBottom/>
            <wp:docPr id="17" name="图片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sz w:val="32"/>
        </w:rPr>
        <mc:AlternateContent>
          <mc:Choice Requires="wps">
            <w:drawing>
              <wp:anchor distT="0" distB="0" distL="114300" distR="114300" simplePos="0" relativeHeight="251661312" behindDoc="1" locked="0" layoutInCell="1" allowOverlap="1">
                <wp:simplePos x="0" y="0"/>
                <wp:positionH relativeFrom="column">
                  <wp:posOffset>977900</wp:posOffset>
                </wp:positionH>
                <wp:positionV relativeFrom="paragraph">
                  <wp:posOffset>2166620</wp:posOffset>
                </wp:positionV>
                <wp:extent cx="2921635" cy="399415"/>
                <wp:effectExtent l="0" t="0" r="12065" b="635"/>
                <wp:wrapNone/>
                <wp:docPr id="5" name="文本框 21"/>
                <wp:cNvGraphicFramePr/>
                <a:graphic xmlns:a="http://schemas.openxmlformats.org/drawingml/2006/main">
                  <a:graphicData uri="http://schemas.microsoft.com/office/word/2010/wordprocessingShape">
                    <wps:wsp>
                      <wps:cNvSpPr txBox="1"/>
                      <wps:spPr>
                        <a:xfrm>
                          <a:off x="1964690" y="8185150"/>
                          <a:ext cx="2921635" cy="399415"/>
                        </a:xfrm>
                        <a:prstGeom prst="rect">
                          <a:avLst/>
                        </a:prstGeom>
                        <a:solidFill>
                          <a:srgbClr val="FFFFFF"/>
                        </a:solidFill>
                        <a:ln w="6350">
                          <a:noFill/>
                        </a:ln>
                      </wps:spPr>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w:t>
                            </w:r>
                            <w:r>
                              <w:rPr>
                                <w:rFonts w:hint="eastAsia" w:ascii="仿宋_GB2312" w:hAnsi="Times New Roman" w:eastAsia="仿宋_GB2312" w:cs="DengXian-Regular"/>
                                <w:sz w:val="28"/>
                                <w:szCs w:val="28"/>
                                <w:lang w:val="en-US" w:eastAsia="zh-CN"/>
                              </w:rPr>
                              <w:t>1</w:t>
                            </w:r>
                            <w:r>
                              <w:rPr>
                                <w:rFonts w:hint="eastAsia" w:ascii="仿宋_GB2312" w:hAnsi="Times New Roman" w:eastAsia="仿宋_GB2312" w:cs="DengXian-Regular"/>
                                <w:sz w:val="28"/>
                                <w:szCs w:val="28"/>
                              </w:rPr>
                              <w:t>：支出构成情况（按支出性质）</w:t>
                            </w:r>
                          </w:p>
                          <w:p>
                            <w:pPr>
                              <w:spacing w:after="160" w:line="480" w:lineRule="auto"/>
                              <w:rPr>
                                <w:rFonts w:ascii="Times New Roman" w:hAnsi="Times New Roman" w:eastAsia="宋体"/>
                                <w:sz w:val="20"/>
                              </w:rPr>
                            </w:pPr>
                          </w:p>
                        </w:txbxContent>
                      </wps:txbx>
                      <wps:bodyPr vert="horz" anchor="t" upright="1"/>
                    </wps:wsp>
                  </a:graphicData>
                </a:graphic>
              </wp:anchor>
            </w:drawing>
          </mc:Choice>
          <mc:Fallback>
            <w:pict>
              <v:shape id="文本框 21" o:spid="_x0000_s1026" o:spt="202" type="#_x0000_t202" style="position:absolute;left:0pt;margin-left:77pt;margin-top:170.6pt;height:31.45pt;width:230.05pt;z-index:-251655168;mso-width-relative:page;mso-height-relative:page;" fillcolor="#FFFFFF" filled="t" stroked="f" coordsize="21600,21600" o:gfxdata="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BcdhR1QAAAAsBAAAPAAAAAAAAAAEAIAAAACIAAABkcnMvZG93bnJl&#10;di54bWxQSwECFAAUAAAACACHTuJAEOZA7ccBAABWAwAADgAAAAAAAAABACAAAAAkAQAAZHJzL2Uy&#10;b0RvYy54bWxQSwUGAAAAAAYABgBZAQAAXQU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w:t>
                      </w:r>
                      <w:r>
                        <w:rPr>
                          <w:rFonts w:hint="eastAsia" w:ascii="仿宋_GB2312" w:hAnsi="Times New Roman" w:eastAsia="仿宋_GB2312" w:cs="DengXian-Regular"/>
                          <w:sz w:val="28"/>
                          <w:szCs w:val="28"/>
                          <w:lang w:val="en-US" w:eastAsia="zh-CN"/>
                        </w:rPr>
                        <w:t>1</w:t>
                      </w:r>
                      <w:r>
                        <w:rPr>
                          <w:rFonts w:hint="eastAsia" w:ascii="仿宋_GB2312" w:hAnsi="Times New Roman" w:eastAsia="仿宋_GB2312" w:cs="DengXian-Regular"/>
                          <w:sz w:val="28"/>
                          <w:szCs w:val="28"/>
                        </w:rPr>
                        <w:t>：支出构成情况（按支出性质）</w:t>
                      </w:r>
                    </w:p>
                    <w:p>
                      <w:pPr>
                        <w:spacing w:after="160" w:line="480" w:lineRule="auto"/>
                        <w:rPr>
                          <w:rFonts w:ascii="Times New Roman" w:hAnsi="Times New Roman" w:eastAsia="宋体"/>
                          <w:sz w:val="20"/>
                        </w:rPr>
                      </w:pPr>
                    </w:p>
                  </w:txbxContent>
                </v:textbox>
              </v:shape>
            </w:pict>
          </mc:Fallback>
        </mc:AlternateConten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after="0" w:line="580" w:lineRule="exact"/>
        <w:ind w:firstLine="640" w:firstLineChars="200"/>
        <w:rPr>
          <w:rFonts w:hint="eastAsia" w:ascii="仿宋" w:hAnsi="仿宋" w:eastAsia="仿宋"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w:t>
      </w:r>
      <w:r>
        <w:rPr>
          <w:rFonts w:hint="eastAsia" w:ascii="仿宋_GB2312" w:hAnsi="Times New Roman" w:eastAsia="仿宋_GB2312" w:cs="DengXian-Regular"/>
          <w:sz w:val="32"/>
          <w:szCs w:val="32"/>
          <w:lang w:val="en-US" w:eastAsia="zh-CN"/>
        </w:rPr>
        <w:t>1931.66</w:t>
      </w:r>
      <w:r>
        <w:rPr>
          <w:rFonts w:hint="eastAsia" w:ascii="仿宋_GB2312" w:hAnsi="Times New Roman" w:eastAsia="仿宋_GB2312" w:cs="DengXian-Regular"/>
          <w:sz w:val="32"/>
          <w:szCs w:val="32"/>
        </w:rPr>
        <w:t>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w:t>
      </w:r>
      <w:r>
        <w:rPr>
          <w:rFonts w:hint="eastAsia" w:ascii="仿宋_GB2312" w:hAnsi="Times New Roman" w:eastAsia="仿宋_GB2312" w:cs="DengXian-Regular"/>
          <w:sz w:val="32"/>
          <w:szCs w:val="32"/>
          <w:lang w:val="en-US" w:eastAsia="zh-CN"/>
        </w:rPr>
        <w:t>88.24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下降</w:t>
      </w:r>
      <w:r>
        <w:rPr>
          <w:rFonts w:hint="eastAsia" w:ascii="仿宋_GB2312" w:hAnsi="Times New Roman" w:eastAsia="仿宋_GB2312" w:cs="DengXian-Regular"/>
          <w:sz w:val="32"/>
          <w:szCs w:val="32"/>
          <w:lang w:val="en-US" w:eastAsia="zh-CN"/>
        </w:rPr>
        <w:t>4.36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eastAsia="zh-CN"/>
        </w:rPr>
        <w:t>是厉行节约</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2018.74</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148.29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7.92</w:t>
      </w:r>
      <w:r>
        <w:rPr>
          <w:rFonts w:ascii="仿宋_GB2312" w:hAnsi="Times New Roman" w:eastAsia="仿宋_GB2312" w:cs="DengXian-Regular"/>
          <w:sz w:val="32"/>
          <w:szCs w:val="32"/>
        </w:rPr>
        <w:t>x%</w:t>
      </w:r>
      <w:r>
        <w:rPr>
          <w:rFonts w:hint="eastAsia" w:ascii="仿宋_GB2312" w:hAnsi="Times New Roman" w:eastAsia="仿宋_GB2312" w:cs="DengXian-Regular"/>
          <w:sz w:val="32"/>
          <w:szCs w:val="32"/>
        </w:rPr>
        <w:t>，主要是</w:t>
      </w:r>
      <w:r>
        <w:rPr>
          <w:rFonts w:hint="eastAsia" w:ascii="仿宋" w:hAnsi="仿宋" w:eastAsia="仿宋" w:cs="DengXian-Regular"/>
          <w:sz w:val="32"/>
          <w:szCs w:val="32"/>
        </w:rPr>
        <w:t>1、201</w:t>
      </w:r>
      <w:r>
        <w:rPr>
          <w:rFonts w:ascii="仿宋" w:hAnsi="仿宋" w:eastAsia="仿宋" w:cs="DengXian-Regular"/>
          <w:sz w:val="32"/>
          <w:szCs w:val="32"/>
        </w:rPr>
        <w:t>8</w:t>
      </w:r>
      <w:r>
        <w:rPr>
          <w:rFonts w:hint="eastAsia" w:ascii="仿宋" w:hAnsi="仿宋" w:eastAsia="仿宋" w:cs="DengXian-Regular"/>
          <w:sz w:val="32"/>
          <w:szCs w:val="32"/>
        </w:rPr>
        <w:t>年度我单位人员工资进行了调整，人员工资待遇增加；2、我院2018年度案件受理数量增加。</w:t>
      </w:r>
    </w:p>
    <w:p>
      <w:pPr>
        <w:adjustRightInd w:val="0"/>
        <w:snapToGrid w:val="0"/>
        <w:spacing w:after="0" w:line="580" w:lineRule="exact"/>
        <w:ind w:firstLine="420" w:firstLineChars="200"/>
        <w:rPr>
          <w:rFonts w:hint="eastAsia" w:ascii="仿宋" w:hAnsi="仿宋" w:eastAsia="仿宋" w:cs="DengXian-Regular"/>
          <w:sz w:val="32"/>
          <w:szCs w:val="32"/>
        </w:rPr>
      </w:pPr>
      <w:r>
        <w:drawing>
          <wp:anchor distT="0" distB="0" distL="114300" distR="114300" simplePos="0" relativeHeight="251668480" behindDoc="1" locked="0" layoutInCell="1" allowOverlap="1">
            <wp:simplePos x="0" y="0"/>
            <wp:positionH relativeFrom="column">
              <wp:posOffset>1138555</wp:posOffset>
            </wp:positionH>
            <wp:positionV relativeFrom="paragraph">
              <wp:posOffset>13970</wp:posOffset>
            </wp:positionV>
            <wp:extent cx="3707130" cy="2224405"/>
            <wp:effectExtent l="4445" t="4445" r="22225" b="19050"/>
            <wp:wrapNone/>
            <wp:docPr id="18" name="图片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w:t>
      </w:r>
      <w:r>
        <w:rPr>
          <w:rFonts w:hint="eastAsia" w:ascii="仿宋_GB2312" w:hAnsi="Times New Roman" w:eastAsia="仿宋_GB2312" w:cs="DengXian-Regular"/>
          <w:sz w:val="32"/>
          <w:szCs w:val="32"/>
          <w:lang w:val="en-US" w:eastAsia="zh-CN"/>
        </w:rPr>
        <w:t>1931.66</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454.29</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lang w:eastAsia="zh-CN"/>
        </w:rPr>
        <w:t>上级下达的政法转移支付资金在年初未列入预算，后期预算追加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2、2019年新招录的公务员7名；3、人员待遇调整。</w:t>
      </w:r>
      <w:r>
        <w:rPr>
          <w:rFonts w:hint="eastAsia" w:ascii="仿宋_GB2312" w:hAnsi="Times New Roman" w:eastAsia="仿宋_GB2312" w:cs="DengXian-Regular"/>
          <w:sz w:val="32"/>
          <w:szCs w:val="32"/>
        </w:rPr>
        <w:t>本年支出2018.74万元，完成年初预算的</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514.37</w:t>
      </w:r>
      <w:r>
        <w:rPr>
          <w:rFonts w:hint="eastAsia" w:ascii="仿宋_GB2312" w:hAnsi="Times New Roman" w:eastAsia="仿宋_GB2312" w:cs="DengXian-Regular"/>
          <w:sz w:val="32"/>
          <w:szCs w:val="32"/>
        </w:rPr>
        <w:t>万元，决算数大于预算数主要原因是主要是</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lang w:eastAsia="zh-CN"/>
        </w:rPr>
        <w:t>上级下达的政法转移支付资金在年初未列入预算，后期预算追加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2、2019年新招录的公务员7名；3、人员待遇调整</w:t>
      </w:r>
      <w:r>
        <w:rPr>
          <w:rFonts w:hint="eastAsia" w:ascii="仿宋_GB2312" w:hAnsi="Times New Roman" w:eastAsia="仿宋_GB2312" w:cs="DengXian-Regular"/>
          <w:sz w:val="32"/>
          <w:szCs w:val="32"/>
        </w:rPr>
        <w:t>。</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w:t>
      </w:r>
      <w:r>
        <w:rPr>
          <w:rFonts w:hint="eastAsia" w:ascii="仿宋_GB2312" w:hAnsi="Times New Roman" w:eastAsia="仿宋_GB2312" w:cs="DengXian-Regular"/>
          <w:sz w:val="32"/>
          <w:szCs w:val="32"/>
          <w:lang w:val="en-US" w:eastAsia="zh-CN"/>
        </w:rPr>
        <w:t>2018.74</w:t>
      </w:r>
      <w:r>
        <w:rPr>
          <w:rFonts w:hint="eastAsia" w:ascii="仿宋_GB2312" w:hAnsi="Times New Roman" w:eastAsia="仿宋_GB2312" w:cs="DengXian-Regular"/>
          <w:sz w:val="32"/>
          <w:szCs w:val="32"/>
        </w:rPr>
        <w:t>万元，主要用于以下方面公共安全类（类）支出1783.54万元，占</w:t>
      </w:r>
      <w:r>
        <w:rPr>
          <w:rFonts w:hint="eastAsia" w:ascii="仿宋_GB2312" w:hAnsi="Times New Roman" w:eastAsia="仿宋_GB2312" w:cs="DengXian-Regular"/>
          <w:sz w:val="32"/>
          <w:szCs w:val="32"/>
          <w:lang w:val="en-US" w:eastAsia="zh-CN"/>
        </w:rPr>
        <w:t>83.35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；社会保障和就业（类）支出134.56万元，占</w:t>
      </w:r>
      <w:r>
        <w:rPr>
          <w:rFonts w:hint="eastAsia" w:ascii="仿宋_GB2312" w:hAnsi="Times New Roman" w:eastAsia="仿宋_GB2312" w:cs="DengXian-Regular"/>
          <w:sz w:val="32"/>
          <w:szCs w:val="32"/>
          <w:lang w:val="en-US" w:eastAsia="zh-CN"/>
        </w:rPr>
        <w:t>6.20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；住房保障（类）支出</w:t>
      </w:r>
      <w:r>
        <w:rPr>
          <w:rFonts w:hint="eastAsia" w:ascii="仿宋_GB2312" w:hAnsi="Times New Roman" w:eastAsia="仿宋_GB2312" w:cs="DengXian-Regular"/>
          <w:sz w:val="32"/>
          <w:szCs w:val="32"/>
          <w:lang w:val="en-US" w:eastAsia="zh-CN"/>
        </w:rPr>
        <w:t>66.84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10.45</w:t>
      </w:r>
      <w:r>
        <w:rPr>
          <w:rFonts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年度财政拨款基本支出1621.56万元，其中：人员经费</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1326.16万元，主要包括基本工资361.97</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、津贴补贴525.34</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、奖金198.42</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机关事业单位基本养老保险缴费97.61</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、职工基本医疗保险缴费33.8</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、其他社会保障缴费4.86</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住房公积金66.84</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、退休费21.37</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、抚恤金15.58</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；公用经费295.4</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万元，主要包括办公费30.98</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、水费0.38</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、电费11.75</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、公务用车运行维护费</w:t>
      </w:r>
      <w:r>
        <w:rPr>
          <w:rFonts w:hint="eastAsia" w:ascii="仿宋_GB2312" w:hAnsi="Times New Roman" w:eastAsia="仿宋_GB2312" w:cs="DengXian-Regular"/>
          <w:sz w:val="32"/>
          <w:szCs w:val="32"/>
          <w:lang w:val="en-US" w:eastAsia="zh-CN"/>
        </w:rPr>
        <w:t>3万元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邮电费30.56</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、取暖费10.43</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、维修（护）费8.06</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、培训费6.25</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、劳务费122.07</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、其他交通费用45.36</w:t>
      </w:r>
      <w:r>
        <w:rPr>
          <w:rFonts w:hint="eastAsia" w:ascii="仿宋_GB2312" w:hAnsi="Times New Roman" w:eastAsia="仿宋_GB2312" w:cs="DengXian-Regular"/>
          <w:sz w:val="32"/>
          <w:szCs w:val="32"/>
          <w:lang w:eastAsia="zh-CN"/>
        </w:rPr>
        <w:t>万元。</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年度“三公”经费支出共计36.2万元，完成预算的</w:t>
      </w:r>
      <w:r>
        <w:rPr>
          <w:rFonts w:hint="eastAsia" w:ascii="仿宋_GB2312" w:hAnsi="Times New Roman" w:eastAsia="仿宋_GB2312" w:cs="DengXian-Regular"/>
          <w:sz w:val="32"/>
          <w:szCs w:val="32"/>
          <w:lang w:val="en-US" w:eastAsia="zh-CN"/>
        </w:rPr>
        <w:t>99.91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0.03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0.09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 w:hAnsi="仿宋" w:eastAsia="仿宋" w:cs="DengXian-Regular"/>
          <w:sz w:val="32"/>
          <w:szCs w:val="32"/>
        </w:rPr>
        <w:t>严格执行年初预算，认真贯彻落实中央“八项规定”精神和厉行节约要求，从严控制“三公”经费开支</w:t>
      </w:r>
      <w:r>
        <w:rPr>
          <w:rFonts w:hint="eastAsia" w:ascii="仿宋_GB2312" w:hAnsi="Times New Roman" w:eastAsia="仿宋_GB2312" w:cs="DengXian-Regular"/>
          <w:sz w:val="32"/>
          <w:szCs w:val="32"/>
        </w:rPr>
        <w:t>；较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w:t>
      </w:r>
      <w:r>
        <w:rPr>
          <w:rFonts w:hint="eastAsia" w:ascii="仿宋_GB2312" w:hAnsi="Times New Roman" w:eastAsia="仿宋_GB2312" w:cs="DengXian-Regular"/>
          <w:sz w:val="32"/>
          <w:szCs w:val="32"/>
          <w:lang w:val="en-US" w:eastAsia="zh-CN"/>
        </w:rPr>
        <w:t>58.83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61.93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 w:hAnsi="仿宋" w:eastAsia="仿宋" w:cs="DengXian-Regular"/>
          <w:sz w:val="32"/>
          <w:szCs w:val="32"/>
        </w:rPr>
        <w:t>严格执行年初预算，认真贯彻落实中央“八项规定”精神和厉行节约要求，从严控制“三公”经费开支</w:t>
      </w:r>
      <w:r>
        <w:rPr>
          <w:rFonts w:hint="eastAsia" w:ascii="仿宋_GB2312" w:hAnsi="Times New Roman" w:eastAsia="仿宋_GB2312" w:cs="DengXian-Regular"/>
          <w:sz w:val="32"/>
          <w:szCs w:val="32"/>
        </w:rPr>
        <w:t>。具体情况如下：</w:t>
      </w:r>
    </w:p>
    <w:p>
      <w:pPr>
        <w:numPr>
          <w:ilvl w:val="0"/>
          <w:numId w:val="3"/>
        </w:num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无本单位组织的出国（境）团组。</w:t>
      </w:r>
    </w:p>
    <w:p>
      <w:pPr>
        <w:numPr>
          <w:ilvl w:val="0"/>
          <w:numId w:val="0"/>
        </w:num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36.17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年度公务用车购置及运行维护费较预算减少</w:t>
      </w:r>
      <w:r>
        <w:rPr>
          <w:rFonts w:hint="eastAsia" w:ascii="仿宋_GB2312" w:hAnsi="Times New Roman" w:eastAsia="仿宋_GB2312" w:cs="DengXian-Regular"/>
          <w:sz w:val="32"/>
          <w:szCs w:val="32"/>
          <w:lang w:val="en-US" w:eastAsia="zh-CN"/>
        </w:rPr>
        <w:t>0.03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0.09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 w:hAnsi="仿宋" w:eastAsia="仿宋" w:cs="DengXian-Regular"/>
          <w:sz w:val="32"/>
          <w:szCs w:val="32"/>
        </w:rPr>
        <w:t>认真贯彻落实中央“八项规定”精神和厉行节约要求，从严控制“三公”经费开支</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58.83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61.92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严格执行年初三公经费预算，同时</w:t>
      </w:r>
      <w:r>
        <w:rPr>
          <w:rFonts w:hint="eastAsia" w:ascii="仿宋_GB2312" w:hAnsi="Times New Roman" w:eastAsia="仿宋_GB2312" w:cs="DengXian-Regular"/>
          <w:sz w:val="32"/>
          <w:szCs w:val="32"/>
          <w:lang w:val="en-US" w:eastAsia="zh-CN"/>
        </w:rPr>
        <w:t>2019年无公车购置项目</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本年无公务用车购置项目</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49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2019年无公务用车购置项目</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w:t>
      </w:r>
      <w:r>
        <w:rPr>
          <w:rFonts w:hint="eastAsia" w:ascii="仿宋_GB2312" w:hAnsi="Times New Roman" w:eastAsia="仿宋_GB2312" w:cs="DengXian-Regular"/>
          <w:sz w:val="32"/>
          <w:szCs w:val="32"/>
          <w:lang w:val="en-US" w:eastAsia="zh-CN"/>
        </w:rPr>
        <w:t>19</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0.03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0.08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严格执行年初三公经费预算，控制公务用车运行维护费用</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9.83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21.36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公务用车改革后，严格执行三公经费年初预算，控制车辆使用</w:t>
      </w:r>
      <w:r>
        <w:rPr>
          <w:rFonts w:hint="eastAsia" w:ascii="仿宋_GB2312" w:hAnsi="Times New Roman" w:eastAsia="仿宋_GB2312" w:cs="DengXian-Regular"/>
          <w:sz w:val="32"/>
          <w:szCs w:val="32"/>
        </w:rPr>
        <w:t>。</w:t>
      </w:r>
    </w:p>
    <w:p>
      <w:pPr>
        <w:numPr>
          <w:ilvl w:val="0"/>
          <w:numId w:val="3"/>
        </w:numPr>
        <w:adjustRightInd w:val="0"/>
        <w:snapToGrid w:val="0"/>
        <w:spacing w:line="580" w:lineRule="exact"/>
        <w:ind w:left="0" w:leftChars="0"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公务接待费支出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p>
    <w:p>
      <w:pPr>
        <w:numPr>
          <w:ilvl w:val="0"/>
          <w:numId w:val="0"/>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本年度未发生公务接待费用</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2018年未发生公务接待费用</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（一）预算绩效管理工作开展情况。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绩效目标主要有依法惩治刑事犯罪，监督行政机关依法行政，促进社会和谐稳定服务全区工作大局。同时积极推进执法工作进行，切实保障群众的合法权益，维护社会的稳定与正义。完善审判质效体系健全司法权力运行机制，提供司法公信力。不断提高队伍素质和执法能力，推进信息公开化，推进信息公开，改进司法工作作风，树立良好的形象。精简、高效、方便诉讼的原则、科学划分职责、合理分配资源。</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案件审判管理和执行</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妥善审理经济转型过程中引发的各类矛盾纠纷，依法维护国家安全和社会稳定，严惩各类严重刑事犯罪，积极推进平安我区建设，营造良好的法治环境。依法惩治刑事犯罪，监督行政机关依法行政，促进社会和谐，维护社会稳定，服务全区工作大局，发挥服务保障职能。积极推进执行工作，切实保障群众合法权益，维护社会公平正义。完善审判质效评估体系，促进审判质效、健全司法权力运行机制，提升司法公信力。为案件审判提供技术支撑，提高办案质量。</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司法救助和国家赔偿</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改革涉诉信访工作，推动涉诉信访问题在法治轨道内解决；落实司法为民措施，保护被侵权人合法利益，促进国家机关依法行使职权。保障信访工作正常进行，提高信访案件结案率、信访受理满意度，维护国家机关的正常工作秩序，做好稳控工作。不断完善司法救助，切实保护民生，让人民群众感受到司法以人为本，享受到司法人文关怀。保护被侵害人的合法权益，促进行政机关依法行政。</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法院事务管理</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提高队伍素质和执法能力，高质高效完成各项工作。不断提高队伍素质和执法能力，推进信息公开，提升审判质效，改进司法工作作风，树立法院良好形象。加强法院系统队伍建设，加强法院基础设施及信息化建设，加强培训及法院文化建设；总结法院审判业务工作经验，建立绩效考核制度，树立法院良好形象。</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（三）重点项目绩效评价结果。</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       无</w:t>
      </w:r>
    </w:p>
    <w:p>
      <w:pPr>
        <w:numPr>
          <w:ilvl w:val="0"/>
          <w:numId w:val="4"/>
        </w:num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部门决算中项目绩效自评结果。</w:t>
      </w:r>
    </w:p>
    <w:p>
      <w:pPr>
        <w:spacing w:line="520" w:lineRule="exact"/>
        <w:ind w:firstLine="1280" w:firstLineChars="400"/>
        <w:rPr>
          <w:rFonts w:hint="eastAsia" w:ascii="仿宋_GB2312" w:eastAsia="仿宋_GB2312" w:cs="DengXian-Regular"/>
          <w:sz w:val="32"/>
          <w:szCs w:val="32"/>
        </w:rPr>
      </w:pPr>
      <w:r>
        <w:rPr>
          <w:rFonts w:hint="eastAsia" w:ascii="仿宋_GB2312" w:eastAsia="仿宋_GB2312" w:cs="DengXian-Regular"/>
          <w:sz w:val="32"/>
          <w:szCs w:val="32"/>
        </w:rPr>
        <w:t>项目绩效自评</w:t>
      </w:r>
      <w:r>
        <w:rPr>
          <w:rFonts w:hint="eastAsia" w:ascii="仿宋" w:hAnsi="仿宋" w:eastAsia="仿宋" w:cs="DengXian-Regular"/>
          <w:sz w:val="32"/>
          <w:szCs w:val="32"/>
        </w:rPr>
        <w:t>结果</w:t>
      </w:r>
      <w:r>
        <w:rPr>
          <w:rFonts w:hint="eastAsia" w:ascii="仿宋" w:hAnsi="仿宋" w:eastAsia="仿宋" w:cs="Calibri"/>
          <w:sz w:val="32"/>
          <w:szCs w:val="32"/>
        </w:rPr>
        <w:t>为</w:t>
      </w:r>
      <w:r>
        <w:rPr>
          <w:rFonts w:hint="eastAsia" w:ascii="仿宋" w:hAnsi="仿宋" w:eastAsia="仿宋" w:cs="DengXian-Regular"/>
          <w:sz w:val="32"/>
          <w:szCs w:val="32"/>
        </w:rPr>
        <w:t>优秀</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w:t>
      </w:r>
      <w:r>
        <w:rPr>
          <w:rFonts w:hint="eastAsia" w:ascii="仿宋_GB2312" w:hAnsi="Times New Roman" w:eastAsia="仿宋_GB2312" w:cs="DengXian-Regular"/>
          <w:sz w:val="32"/>
          <w:szCs w:val="32"/>
          <w:lang w:val="en-US" w:eastAsia="zh-CN"/>
        </w:rPr>
        <w:t>259.40</w:t>
      </w:r>
      <w:r>
        <w:rPr>
          <w:rFonts w:hint="eastAsia" w:ascii="仿宋_GB2312" w:hAnsi="Times New Roman" w:eastAsia="仿宋_GB2312" w:cs="DengXian-Regular"/>
          <w:sz w:val="32"/>
          <w:szCs w:val="32"/>
        </w:rPr>
        <w:t>万元，比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w:t>
      </w:r>
      <w:r>
        <w:rPr>
          <w:rFonts w:hint="eastAsia" w:ascii="仿宋_GB2312" w:hAnsi="Times New Roman" w:eastAsia="仿宋_GB2312" w:cs="DengXian-Regular"/>
          <w:sz w:val="32"/>
          <w:szCs w:val="32"/>
          <w:lang w:val="en-US" w:eastAsia="zh-CN"/>
        </w:rPr>
        <w:t>7.45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2.59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1、2019年新招录公务员7名；2、案件数量增多</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hint="eastAsia" w:ascii="仿宋_GB2312" w:hAnsi="Times New Roman" w:eastAsia="仿宋_GB2312" w:cs="DengXian-Regular"/>
          <w:sz w:val="32"/>
          <w:szCs w:val="32"/>
          <w:lang w:val="en-US" w:eastAsia="zh-CN"/>
        </w:rPr>
        <w:t>19</w:t>
      </w:r>
      <w:r>
        <w:rPr>
          <w:rFonts w:hint="eastAsia" w:ascii="仿宋_GB2312" w:hAnsi="Times New Roman" w:eastAsia="仿宋_GB2312" w:cs="DengXian-Regular"/>
          <w:sz w:val="32"/>
          <w:szCs w:val="32"/>
        </w:rPr>
        <w:t>辆，比上年增加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val="en-US" w:eastAsia="zh-CN"/>
        </w:rPr>
        <w:t>2019年度无公务用车购置和报废</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9</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套，主要是</w:t>
      </w:r>
      <w:r>
        <w:rPr>
          <w:rFonts w:hint="eastAsia" w:ascii="仿宋_GB2312" w:hAnsi="Times New Roman" w:eastAsia="仿宋_GB2312" w:cs="DengXian-Regular"/>
          <w:sz w:val="32"/>
          <w:szCs w:val="32"/>
          <w:lang w:eastAsia="zh-CN"/>
        </w:rPr>
        <w:t>我单位无</w:t>
      </w:r>
      <w:r>
        <w:rPr>
          <w:rFonts w:hint="eastAsia" w:ascii="仿宋_GB2312" w:hAnsi="Times New Roman" w:eastAsia="仿宋_GB2312" w:cs="DengXian-Regular"/>
          <w:sz w:val="32"/>
          <w:szCs w:val="32"/>
          <w:lang w:val="en-US" w:eastAsia="zh-CN"/>
        </w:rPr>
        <w:t>50万以上的通用设备</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比上年增加</w:t>
      </w:r>
      <w:bookmarkStart w:id="0" w:name="_GoBack"/>
      <w:bookmarkEnd w:id="0"/>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套，主要是</w:t>
      </w:r>
      <w:r>
        <w:rPr>
          <w:rFonts w:hint="eastAsia" w:ascii="仿宋_GB2312" w:hAnsi="Times New Roman" w:eastAsia="仿宋_GB2312" w:cs="DengXian-Regular"/>
          <w:sz w:val="32"/>
          <w:szCs w:val="32"/>
          <w:lang w:eastAsia="zh-CN"/>
        </w:rPr>
        <w:t>我单位无</w:t>
      </w:r>
      <w:r>
        <w:rPr>
          <w:rFonts w:hint="eastAsia" w:ascii="仿宋_GB2312" w:hAnsi="Times New Roman" w:eastAsia="仿宋_GB2312" w:cs="DengXian-Regular"/>
          <w:sz w:val="32"/>
          <w:szCs w:val="32"/>
          <w:lang w:val="en-US" w:eastAsia="zh-CN"/>
        </w:rPr>
        <w:t>100万以上的通用设备</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eastAsia="zh-CN"/>
        </w:rPr>
        <w:t>保定市清苑区人民法院</w:t>
      </w:r>
      <w:r>
        <w:rPr>
          <w:rFonts w:hint="eastAsia" w:ascii="仿宋_GB2312" w:hAnsi="Times New Roman" w:eastAsia="仿宋_GB2312" w:cs="DengXian-Regular"/>
          <w:sz w:val="32"/>
          <w:szCs w:val="32"/>
        </w:rPr>
        <w:t>无政府性基金</w:t>
      </w:r>
      <w:r>
        <w:rPr>
          <w:rFonts w:hint="eastAsia" w:ascii="仿宋_GB2312" w:hAnsi="Times New Roman" w:eastAsia="仿宋_GB2312" w:cs="DengXian-Regular"/>
          <w:sz w:val="32"/>
          <w:szCs w:val="32"/>
          <w:lang w:eastAsia="zh-CN"/>
        </w:rPr>
        <w:t>及国有资本经营</w:t>
      </w:r>
      <w:r>
        <w:rPr>
          <w:rFonts w:hint="eastAsia" w:ascii="仿宋_GB2312" w:hAnsi="Times New Roman" w:eastAsia="仿宋_GB2312" w:cs="DengXian-Regular"/>
          <w:sz w:val="32"/>
          <w:szCs w:val="32"/>
        </w:rPr>
        <w:t>情况，故</w:t>
      </w:r>
      <w:r>
        <w:rPr>
          <w:rFonts w:hint="eastAsia" w:ascii="仿宋_GB2312" w:hAnsi="Times New Roman" w:eastAsia="仿宋_GB2312" w:cs="DengXian-Regular"/>
          <w:sz w:val="32"/>
          <w:szCs w:val="32"/>
          <w:lang w:val="en-US" w:eastAsia="zh-CN"/>
        </w:rPr>
        <w:t>Z09、Z10</w:t>
      </w:r>
      <w:r>
        <w:rPr>
          <w:rFonts w:hint="eastAsia" w:ascii="仿宋_GB2312" w:hAnsi="Times New Roman" w:eastAsia="仿宋_GB2312" w:cs="DengXian-Regular"/>
          <w:sz w:val="32"/>
          <w:szCs w:val="32"/>
        </w:rPr>
        <w:t>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mc:AlternateContent>
          <mc:Choice Requires="wps">
            <w:drawing>
              <wp:anchor distT="0" distB="0" distL="114300" distR="114300" simplePos="0" relativeHeight="25166540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6" name="文本框 2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wps:txbx>
                      <wps:bodyPr anchor="ctr" upright="1"/>
                    </wps:wsp>
                  </a:graphicData>
                </a:graphic>
              </wp:anchor>
            </w:drawing>
          </mc:Choice>
          <mc:Fallback>
            <w:pict>
              <v:shape id="文本框 25" o:spid="_x0000_s1026" o:spt="202" type="#_x0000_t202" style="position:absolute;left:0pt;margin-left:-80.45pt;margin-top:34.8pt;height:263.1pt;width:613.65pt;z-index:251665408;v-text-anchor:middle;mso-width-relative:page;mso-height-relative:page;" fillcolor="#FFD966" filled="t" stroked="t" coordsize="21600,21600" o:gfxdata="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P3NKXXAAAADAEA&#10;AA8AAAAAAAAAAQAgAAAAIgAAAGRycy9kb3ducmV2LnhtbFBLAQIUABQAAAAIAIdO4kA1kywFGwIA&#10;AEEEAAAOAAAAAAAAAAEAIAAAACYBAABkcnMvZTJvRG9jLnhtbFBLBQYAAAAABgAGAFkBAACzBQAA&#10;AAA=&#10;">
                <v:fill type="pattern" on="t" color2="#FFFFFF" focussize="0,0" r:id="rId13"/>
                <v:stroke weight="0.5pt" color="#FFD966" joinstyle="round"/>
                <v:imagedata o:title=""/>
                <o:lock v:ext="edit" aspectratio="f"/>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mc:Fallback>
        </mc:AlternateContent>
      </w:r>
    </w:p>
    <w:p/>
    <w:p/>
    <w:p/>
    <w:p/>
    <w:p/>
    <w:p/>
    <w:p/>
    <w:p/>
    <w:p/>
    <w:p/>
    <w:p/>
    <w:p/>
    <w:p/>
    <w:p>
      <w:pPr>
        <w:tabs>
          <w:tab w:val="left" w:pos="886"/>
        </w:tabs>
        <w:jc w:val="left"/>
        <w:sectPr>
          <w:headerReference r:id="rId10"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11"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mc:AlternateContent>
          <mc:Choice Requires="wps">
            <w:drawing>
              <wp:anchor distT="0" distB="0" distL="114300" distR="114300" simplePos="0" relativeHeight="251651072"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26"/>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wps:txbx>
                      <wps:bodyPr anchor="ctr" upright="1"/>
                    </wps:wsp>
                  </a:graphicData>
                </a:graphic>
              </wp:anchor>
            </w:drawing>
          </mc:Choice>
          <mc:Fallback>
            <w:pict>
              <v:shape id="文本框 26" o:spid="_x0000_s1026" o:spt="202" type="#_x0000_t202" style="position:absolute;left:0pt;margin-left:-82.05pt;margin-top:135.85pt;height:263.1pt;width:613.65pt;z-index:-251665408;v-text-anchor:middle;mso-width-relative:page;mso-height-relative:page;" fillcolor="#FFD966" filled="t" stroked="t" coordsize="21600,21600" o:gfxdata="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o4w9h2AAAAA0B&#10;AAAPAAAAAAAAAAEAIAAAACIAAABkcnMvZG93bnJldi54bWxQSwECFAAUAAAACACHTuJAQ51XDRsC&#10;AABABAAADgAAAAAAAAABACAAAAAnAQAAZHJzL2Uyb0RvYy54bWxQSwUGAAAAAAYABgBZAQAAtAUA&#10;AAAA&#10;">
                <v:fill type="pattern" on="t" color2="#FFFFFF" focussize="0,0" r:id="rId13"/>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mc:Fallback>
        </mc:AlternateConten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见公开附表：</w:t>
      </w:r>
    </w:p>
    <w:p>
      <w:pPr>
        <w:rPr>
          <w:rFonts w:ascii="仿宋_GB2312" w:hAnsi="仿宋_GB2312" w:eastAsia="仿宋_GB2312" w:cs="仿宋_GB2312"/>
          <w:sz w:val="32"/>
          <w:szCs w:val="32"/>
        </w:rPr>
      </w:pPr>
      <w:r>
        <w:rPr>
          <w:rFonts w:hint="eastAsia" w:ascii="仿宋_GB2312" w:hAnsi="仿宋_GB2312" w:eastAsia="仿宋_GB2312" w:cs="仿宋_GB2312"/>
          <w:bCs/>
          <w:sz w:val="32"/>
          <w:szCs w:val="32"/>
        </w:rPr>
        <w:t>一、收入</w:t>
      </w:r>
      <w:r>
        <w:rPr>
          <w:rFonts w:hint="eastAsia" w:ascii="仿宋_GB2312" w:hAnsi="仿宋_GB2312" w:eastAsia="仿宋_GB2312" w:cs="仿宋_GB2312"/>
          <w:sz w:val="32"/>
          <w:szCs w:val="32"/>
        </w:rPr>
        <w:t>支出决算总表（公开</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二、收入决算表（公开</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三、支出决算表（公开</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四、财政拨款收入支出决算总表（公开</w:t>
      </w:r>
      <w:r>
        <w:rPr>
          <w:rFonts w:ascii="仿宋_GB2312" w:hAnsi="仿宋_GB2312" w:eastAsia="仿宋_GB2312" w:cs="仿宋_GB2312"/>
          <w:sz w:val="32"/>
          <w:szCs w:val="32"/>
        </w:rPr>
        <w:t>04</w:t>
      </w:r>
      <w:r>
        <w:rPr>
          <w:rFonts w:hint="eastAsia" w:ascii="仿宋_GB2312" w:hAnsi="仿宋_GB2312" w:eastAsia="仿宋_GB2312" w:cs="仿宋_GB2312"/>
          <w:sz w:val="32"/>
          <w:szCs w:val="32"/>
        </w:rPr>
        <w:t>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五、一般公共预算财政拨款支出决算表（公开</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六、一般公共预算财政拨款基本支出决算表（公开</w:t>
      </w:r>
      <w:r>
        <w:rPr>
          <w:rFonts w:ascii="仿宋_GB2312" w:hAnsi="仿宋_GB2312" w:eastAsia="仿宋_GB2312" w:cs="仿宋_GB2312"/>
          <w:sz w:val="32"/>
          <w:szCs w:val="32"/>
        </w:rPr>
        <w:t>06</w:t>
      </w:r>
      <w:r>
        <w:rPr>
          <w:rFonts w:hint="eastAsia" w:ascii="仿宋_GB2312" w:hAnsi="仿宋_GB2312" w:eastAsia="仿宋_GB2312" w:cs="仿宋_GB2312"/>
          <w:sz w:val="32"/>
          <w:szCs w:val="32"/>
        </w:rPr>
        <w:t>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七、一般公共预算财政拨款“三公”经费支出决算表（公开</w:t>
      </w:r>
      <w:r>
        <w:rPr>
          <w:rFonts w:ascii="仿宋_GB2312" w:hAnsi="仿宋_GB2312" w:eastAsia="仿宋_GB2312" w:cs="仿宋_GB2312"/>
          <w:sz w:val="32"/>
          <w:szCs w:val="32"/>
        </w:rPr>
        <w:t>07</w:t>
      </w:r>
      <w:r>
        <w:rPr>
          <w:rFonts w:hint="eastAsia" w:ascii="仿宋_GB2312" w:hAnsi="仿宋_GB2312" w:eastAsia="仿宋_GB2312" w:cs="仿宋_GB2312"/>
          <w:sz w:val="32"/>
          <w:szCs w:val="32"/>
        </w:rPr>
        <w:t>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八、政府性基金预算财政拨款收入支出决算表（公开</w:t>
      </w:r>
      <w:r>
        <w:rPr>
          <w:rFonts w:ascii="仿宋_GB2312" w:hAnsi="仿宋_GB2312" w:eastAsia="仿宋_GB2312" w:cs="仿宋_GB2312"/>
          <w:sz w:val="32"/>
          <w:szCs w:val="32"/>
        </w:rPr>
        <w:t>08</w:t>
      </w:r>
      <w:r>
        <w:rPr>
          <w:rFonts w:hint="eastAsia" w:ascii="仿宋_GB2312" w:hAnsi="仿宋_GB2312" w:eastAsia="仿宋_GB2312" w:cs="仿宋_GB2312"/>
          <w:sz w:val="32"/>
          <w:szCs w:val="32"/>
        </w:rPr>
        <w:t>表）</w:t>
      </w:r>
    </w:p>
    <w:p>
      <w:r>
        <w:rPr>
          <w:rFonts w:hint="eastAsia" w:ascii="仿宋_GB2312" w:hAnsi="仿宋_GB2312" w:eastAsia="仿宋_GB2312" w:cs="仿宋_GB2312"/>
          <w:sz w:val="32"/>
          <w:szCs w:val="32"/>
        </w:rPr>
        <w:t>九、国有资本经营预算财政拨款支出决算表（公开</w:t>
      </w:r>
      <w:r>
        <w:rPr>
          <w:rFonts w:ascii="仿宋_GB2312" w:hAnsi="仿宋_GB2312" w:eastAsia="仿宋_GB2312" w:cs="仿宋_GB2312"/>
          <w:sz w:val="32"/>
          <w:szCs w:val="32"/>
        </w:rPr>
        <w:t>09</w:t>
      </w:r>
      <w:r>
        <w:rPr>
          <w:rFonts w:hint="eastAsia" w:ascii="仿宋_GB2312" w:hAnsi="仿宋_GB2312" w:eastAsia="仿宋_GB2312" w:cs="仿宋_GB2312"/>
          <w:sz w:val="32"/>
          <w:szCs w:val="32"/>
        </w:rPr>
        <w:t>表）。</w:t>
      </w:r>
      <w:r>
        <w:br w:type="page"/>
      </w:r>
    </w:p>
    <w:p/>
    <w:p>
      <w:r>
        <mc:AlternateContent>
          <mc:Choice Requires="wps">
            <w:drawing>
              <wp:anchor distT="0" distB="0" distL="114300" distR="114300" simplePos="0" relativeHeight="25166643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6643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Cby1/dAAAADwEAAA8AAAAAAAAAAQAgAAAAIgAAAGRycy9kb3ducmV2LnhtbFBL&#10;AQIUABQAAAAIAIdO4kB0Arx+YwIAAJoEAAAOAAAAAAAAAAEAIAAAACwBAABkcnMvZTJvRG9jLnht&#10;bFBLBQYAAAAABgAGAFkBAAABBgAAAAA=&#10;">
                <v:fill on="t" focussize="0,0"/>
                <v:stroke on="f" weight="1pt" miterlimit="8" joinstyle="miter"/>
                <v:imagedata o:title=""/>
                <o:lock v:ext="edit" aspectratio="f"/>
              </v:rect>
            </w:pict>
          </mc:Fallback>
        </mc:AlternateConten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Yu Gothic UI Semibold">
    <w:altName w:val="MS Gothic"/>
    <w:panose1 w:val="00000000000000000000"/>
    <w:charset w:val="80"/>
    <w:family w:val="swiss"/>
    <w:pitch w:val="default"/>
    <w:sig w:usb0="00000000" w:usb1="00000000" w:usb2="00000010" w:usb3="00000000" w:csb0="00020000" w:csb1="00000000"/>
  </w:font>
  <w:font w:name="思源黑体 HW Bold">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222943"/>
    <w:multiLevelType w:val="singleLevel"/>
    <w:tmpl w:val="CC222943"/>
    <w:lvl w:ilvl="0" w:tentative="0">
      <w:start w:val="1"/>
      <w:numFmt w:val="chineseCounting"/>
      <w:suff w:val="nothing"/>
      <w:lvlText w:val="（%1）"/>
      <w:lvlJc w:val="left"/>
      <w:rPr>
        <w:rFonts w:hint="eastAsia"/>
      </w:rPr>
    </w:lvl>
  </w:abstractNum>
  <w:abstractNum w:abstractNumId="1">
    <w:nsid w:val="0041340D"/>
    <w:multiLevelType w:val="singleLevel"/>
    <w:tmpl w:val="0041340D"/>
    <w:lvl w:ilvl="0" w:tentative="0">
      <w:start w:val="2"/>
      <w:numFmt w:val="decimal"/>
      <w:suff w:val="space"/>
      <w:lvlText w:val="%1."/>
      <w:lvlJc w:val="left"/>
    </w:lvl>
  </w:abstractNum>
  <w:abstractNum w:abstractNumId="2">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3">
    <w:nsid w:val="4B9F85D1"/>
    <w:multiLevelType w:val="singleLevel"/>
    <w:tmpl w:val="4B9F85D1"/>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7063E"/>
    <w:rsid w:val="00073392"/>
    <w:rsid w:val="00073F4E"/>
    <w:rsid w:val="00086C89"/>
    <w:rsid w:val="000A1699"/>
    <w:rsid w:val="000A39FB"/>
    <w:rsid w:val="00117746"/>
    <w:rsid w:val="00163F95"/>
    <w:rsid w:val="00180A9A"/>
    <w:rsid w:val="001829C0"/>
    <w:rsid w:val="00184809"/>
    <w:rsid w:val="00192112"/>
    <w:rsid w:val="001B0127"/>
    <w:rsid w:val="001C12D5"/>
    <w:rsid w:val="001C69F7"/>
    <w:rsid w:val="002650EC"/>
    <w:rsid w:val="002A6C46"/>
    <w:rsid w:val="002C19B5"/>
    <w:rsid w:val="002F3031"/>
    <w:rsid w:val="003A4EE8"/>
    <w:rsid w:val="00442CC2"/>
    <w:rsid w:val="00446244"/>
    <w:rsid w:val="0045155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80AA9"/>
    <w:rsid w:val="009B4EF0"/>
    <w:rsid w:val="009D271F"/>
    <w:rsid w:val="00A679E5"/>
    <w:rsid w:val="00A929C2"/>
    <w:rsid w:val="00AD097F"/>
    <w:rsid w:val="00B844F4"/>
    <w:rsid w:val="00BA06A1"/>
    <w:rsid w:val="00BA770A"/>
    <w:rsid w:val="00C054DE"/>
    <w:rsid w:val="00C32D7F"/>
    <w:rsid w:val="00C679A9"/>
    <w:rsid w:val="00C7212F"/>
    <w:rsid w:val="00C7541C"/>
    <w:rsid w:val="00CC0FAA"/>
    <w:rsid w:val="00CD0736"/>
    <w:rsid w:val="00D1570F"/>
    <w:rsid w:val="00D32830"/>
    <w:rsid w:val="00D8175D"/>
    <w:rsid w:val="00DB7153"/>
    <w:rsid w:val="00DB74AB"/>
    <w:rsid w:val="00DB7F05"/>
    <w:rsid w:val="00DE2D51"/>
    <w:rsid w:val="00E028C3"/>
    <w:rsid w:val="00E14F77"/>
    <w:rsid w:val="00E3076B"/>
    <w:rsid w:val="00E36978"/>
    <w:rsid w:val="00E82A1E"/>
    <w:rsid w:val="00EC06F4"/>
    <w:rsid w:val="00EE4E36"/>
    <w:rsid w:val="00F665F4"/>
    <w:rsid w:val="00FB0294"/>
    <w:rsid w:val="00FD225F"/>
    <w:rsid w:val="19151852"/>
    <w:rsid w:val="1D063F7B"/>
    <w:rsid w:val="31C2036A"/>
    <w:rsid w:val="320D02A5"/>
    <w:rsid w:val="348E566F"/>
    <w:rsid w:val="36330BC8"/>
    <w:rsid w:val="36CA4B92"/>
    <w:rsid w:val="3828316A"/>
    <w:rsid w:val="398D24AB"/>
    <w:rsid w:val="3A226944"/>
    <w:rsid w:val="3AEE6A48"/>
    <w:rsid w:val="3C1620AA"/>
    <w:rsid w:val="3D8F080F"/>
    <w:rsid w:val="44CE1FA4"/>
    <w:rsid w:val="487F73ED"/>
    <w:rsid w:val="4A347EAE"/>
    <w:rsid w:val="4B275642"/>
    <w:rsid w:val="4D9049D5"/>
    <w:rsid w:val="52600405"/>
    <w:rsid w:val="529B4319"/>
    <w:rsid w:val="57773DD6"/>
    <w:rsid w:val="578B79AB"/>
    <w:rsid w:val="579A61C5"/>
    <w:rsid w:val="5CCD3FD5"/>
    <w:rsid w:val="61FA5F9D"/>
    <w:rsid w:val="64CD6910"/>
    <w:rsid w:val="6789158D"/>
    <w:rsid w:val="67D81BA4"/>
    <w:rsid w:val="6AAF1C96"/>
    <w:rsid w:val="743A3BBE"/>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uiPriority w:val="99"/>
    <w:rPr>
      <w:rFonts w:ascii="仿宋_GB2312" w:hAnsi="仿宋_GB2312" w:eastAsia="仿宋_GB2312" w:cs="仿宋_GB2312"/>
      <w:sz w:val="32"/>
      <w:szCs w:val="32"/>
      <w:lang w:val="zh-CN"/>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Heading 1 Char"/>
    <w:basedOn w:val="9"/>
    <w:link w:val="2"/>
    <w:locked/>
    <w:uiPriority w:val="99"/>
    <w:rPr>
      <w:rFonts w:ascii="等线" w:hAnsi="等线" w:eastAsia="等线" w:cs="Times New Roman"/>
      <w:b/>
      <w:bCs/>
      <w:kern w:val="44"/>
      <w:sz w:val="44"/>
      <w:szCs w:val="44"/>
    </w:rPr>
  </w:style>
  <w:style w:type="character" w:customStyle="1" w:styleId="11">
    <w:name w:val="Body Text Char"/>
    <w:basedOn w:val="9"/>
    <w:link w:val="3"/>
    <w:semiHidden/>
    <w:qFormat/>
    <w:locked/>
    <w:uiPriority w:val="99"/>
    <w:rPr>
      <w:rFonts w:ascii="等线" w:hAnsi="等线" w:eastAsia="等线" w:cs="Times New Roman"/>
    </w:rPr>
  </w:style>
  <w:style w:type="character" w:customStyle="1" w:styleId="12">
    <w:name w:val="Footer Char"/>
    <w:basedOn w:val="9"/>
    <w:link w:val="4"/>
    <w:qFormat/>
    <w:locked/>
    <w:uiPriority w:val="99"/>
    <w:rPr>
      <w:rFonts w:cs="Times New Roman"/>
      <w:sz w:val="18"/>
      <w:szCs w:val="18"/>
    </w:rPr>
  </w:style>
  <w:style w:type="character" w:customStyle="1" w:styleId="13">
    <w:name w:val="Header Char"/>
    <w:basedOn w:val="9"/>
    <w:link w:val="5"/>
    <w:qFormat/>
    <w:locked/>
    <w:uiPriority w:val="99"/>
    <w:rPr>
      <w:rFonts w:ascii="等线" w:hAnsi="等线" w:eastAsia="等线" w:cs="Times New Roman"/>
      <w:sz w:val="18"/>
      <w:szCs w:val="18"/>
    </w:rPr>
  </w:style>
  <w:style w:type="paragraph" w:customStyle="1" w:styleId="14">
    <w:name w:val="List Paragraph1"/>
    <w:basedOn w:val="1"/>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1.bmp"/><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2270;&#34920;%20&#22312;%202019&#24180;&#24230;&#37096;&#38376;&#20915;&#31639;&#20844;&#24320;&#27169;&#26495;&#65288;&#21442;&#32771;&#65289;.doc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2270;&#34920;%20&#22312;%202019&#24180;&#24230;&#37096;&#38376;&#20915;&#31639;&#20844;&#24320;&#27169;&#26495;&#65288;&#21442;&#32771;&#65289;.doc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pieChart>
        <c:varyColors val="1"/>
        <c:ser>
          <c:idx val="0"/>
          <c:order val="0"/>
          <c:tx>
            <c:strRef>
              <c:f>'[图表 在 2019年度部门决算公开模板（参考）.docx]Sheet1'!$B$3</c:f>
              <c:strCache>
                <c:ptCount val="1"/>
                <c:pt idx="0">
                  <c:v>法院支出情况</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elete val="1"/>
          </c:dLbls>
          <c:cat>
            <c:strRef>
              <c:f>'[图表 在 2019年度部门决算公开模板（参考）.docx]Sheet1'!$C$2:$F$2</c:f>
              <c:strCache>
                <c:ptCount val="4"/>
                <c:pt idx="0">
                  <c:v>基本支出</c:v>
                </c:pt>
                <c:pt idx="1">
                  <c:v>项目支出</c:v>
                </c:pt>
              </c:strCache>
            </c:strRef>
          </c:cat>
          <c:val>
            <c:numRef>
              <c:f>'[图表 在 2019年度部门决算公开模板（参考）.docx]Sheet1'!$C$3:$F$3</c:f>
              <c:numCache>
                <c:formatCode>General</c:formatCode>
                <c:ptCount val="4"/>
                <c:pt idx="0">
                  <c:v>80.33</c:v>
                </c:pt>
                <c:pt idx="1">
                  <c:v>19.67</c:v>
                </c:pt>
              </c:numCache>
            </c:numRef>
          </c:val>
        </c:ser>
        <c:ser>
          <c:idx val="1"/>
          <c:order val="1"/>
          <c:tx>
            <c:strRef>
              <c:f>'[图表 在 2019年度部门决算公开模板（参考）.docx]Sheet1'!$B$4</c:f>
              <c:strCache>
                <c:ptCount val="1"/>
                <c:pt idx="0">
                  <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elete val="1"/>
          </c:dLbls>
          <c:cat>
            <c:strRef>
              <c:f>'[图表 在 2019年度部门决算公开模板（参考）.docx]Sheet1'!$C$2:$F$2</c:f>
              <c:strCache>
                <c:ptCount val="4"/>
                <c:pt idx="0">
                  <c:v>基本支出</c:v>
                </c:pt>
                <c:pt idx="1">
                  <c:v>项目支出</c:v>
                </c:pt>
              </c:strCache>
            </c:strRef>
          </c:cat>
          <c:val>
            <c:numRef>
              <c:f>'[图表 在 2019年度部门决算公开模板（参考）.docx]Sheet1'!$C$4:$F$4</c:f>
              <c:numCache>
                <c:formatCode>General</c:formatCode>
                <c:ptCount val="4"/>
              </c:numCache>
            </c:numRef>
          </c:val>
        </c:ser>
        <c:ser>
          <c:idx val="2"/>
          <c:order val="2"/>
          <c:tx>
            <c:strRef>
              <c:f>'[图表 在 2019年度部门决算公开模板（参考）.docx]Sheet1'!$B$5</c:f>
              <c:strCache>
                <c:ptCount val="1"/>
                <c:pt idx="0">
                  <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elete val="1"/>
          </c:dLbls>
          <c:cat>
            <c:strRef>
              <c:f>'[图表 在 2019年度部门决算公开模板（参考）.docx]Sheet1'!$C$2:$F$2</c:f>
              <c:strCache>
                <c:ptCount val="4"/>
                <c:pt idx="0">
                  <c:v>基本支出</c:v>
                </c:pt>
                <c:pt idx="1">
                  <c:v>项目支出</c:v>
                </c:pt>
              </c:strCache>
            </c:strRef>
          </c:cat>
          <c:val>
            <c:numRef>
              <c:f>'[图表 在 2019年度部门决算公开模板（参考）.docx]Sheet1'!$C$5:$F$5</c:f>
              <c:numCache>
                <c:formatCode>General</c:formatCode>
                <c:ptCount val="4"/>
              </c:numCache>
            </c:numRef>
          </c:val>
        </c:ser>
        <c:ser>
          <c:idx val="3"/>
          <c:order val="3"/>
          <c:tx>
            <c:strRef>
              <c:f>'[图表 在 2019年度部门决算公开模板（参考）.docx]Sheet1'!$B$6</c:f>
              <c:strCache>
                <c:ptCount val="1"/>
                <c:pt idx="0">
                  <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elete val="1"/>
          </c:dLbls>
          <c:cat>
            <c:strRef>
              <c:f>'[图表 在 2019年度部门决算公开模板（参考）.docx]Sheet1'!$C$2:$F$2</c:f>
              <c:strCache>
                <c:ptCount val="4"/>
                <c:pt idx="0">
                  <c:v>基本支出</c:v>
                </c:pt>
                <c:pt idx="1">
                  <c:v>项目支出</c:v>
                </c:pt>
              </c:strCache>
            </c:strRef>
          </c:cat>
          <c:val>
            <c:numRef>
              <c:f>'[图表 在 2019年度部门决算公开模板（参考）.docx]Sheet1'!$C$6:$F$6</c:f>
              <c:numCache>
                <c:formatCode>General</c:formatCode>
                <c:ptCount val="4"/>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sz="1400" b="0" i="0" u="none" strike="noStrike" kern="1200" spc="0" baseline="0">
                <a:solidFill>
                  <a:srgbClr val="595959">
                    <a:lumMod val="65000"/>
                    <a:lumOff val="35000"/>
                  </a:srgbClr>
                </a:solidFill>
                <a:latin typeface="+mn-lt"/>
                <a:ea typeface="+mn-ea"/>
                <a:cs typeface="+mn-cs"/>
              </a:rPr>
              <a:t>收入支出情况</a:t>
            </a:r>
            <a:endParaRPr sz="1400" b="0" i="0" u="none" strike="noStrike" kern="1200" spc="0" baseline="0">
              <a:solidFill>
                <a:srgbClr val="595959">
                  <a:lumMod val="65000"/>
                  <a:lumOff val="35000"/>
                </a:srgbClr>
              </a:solidFill>
              <a:latin typeface="+mn-lt"/>
              <a:ea typeface="+mn-ea"/>
              <a:cs typeface="+mn-cs"/>
            </a:endParaRPr>
          </a:p>
        </c:rich>
      </c:tx>
      <c:layout/>
      <c:overlay val="0"/>
    </c:title>
    <c:autoTitleDeleted val="0"/>
    <c:plotArea>
      <c:layout/>
      <c:barChart>
        <c:barDir val="col"/>
        <c:grouping val="clustered"/>
        <c:varyColors val="0"/>
        <c:ser>
          <c:idx val="0"/>
          <c:order val="0"/>
          <c:tx>
            <c:strRef>
              <c:f>'[图表 在 2019年度部门决算公开模板（参考）.docx]Sheet1'!$B$3</c:f>
              <c:strCache>
                <c:ptCount val="1"/>
                <c:pt idx="0">
                  <c:v>2018</c:v>
                </c:pt>
              </c:strCache>
            </c:strRef>
          </c:tx>
          <c:spPr>
            <a:solidFill>
              <a:srgbClr val="5B9BD5">
                <a:alpha val="100000"/>
              </a:srgbClr>
            </a:solidFill>
            <a:ln w="3175">
              <a:noFill/>
            </a:ln>
          </c:spPr>
          <c:invertIfNegative val="0"/>
          <c:dLbls>
            <c:delete val="1"/>
          </c:dLbls>
          <c:cat>
            <c:strRef>
              <c:f>'[图表 在 2019年度部门决算公开模板（参考）.docx]Sheet1'!$C$2:$F$2</c:f>
              <c:strCache>
                <c:ptCount val="4"/>
                <c:pt idx="0">
                  <c:v>本年支出</c:v>
                </c:pt>
                <c:pt idx="1">
                  <c:v>本年收入</c:v>
                </c:pt>
              </c:strCache>
            </c:strRef>
          </c:cat>
          <c:val>
            <c:numRef>
              <c:f>'[图表 在 2019年度部门决算公开模板（参考）.docx]Sheet1'!$C$3:$F$3</c:f>
              <c:numCache>
                <c:formatCode>General</c:formatCode>
                <c:ptCount val="4"/>
                <c:pt idx="0">
                  <c:v>1870.45</c:v>
                </c:pt>
                <c:pt idx="1">
                  <c:v>2019.9</c:v>
                </c:pt>
              </c:numCache>
            </c:numRef>
          </c:val>
        </c:ser>
        <c:ser>
          <c:idx val="1"/>
          <c:order val="1"/>
          <c:tx>
            <c:strRef>
              <c:f>'[图表 在 2019年度部门决算公开模板（参考）.docx]Sheet1'!$B$4</c:f>
              <c:strCache>
                <c:ptCount val="1"/>
                <c:pt idx="0">
                  <c:v>2019</c:v>
                </c:pt>
              </c:strCache>
            </c:strRef>
          </c:tx>
          <c:spPr>
            <a:solidFill>
              <a:srgbClr val="ED7D31">
                <a:alpha val="100000"/>
              </a:srgbClr>
            </a:solidFill>
            <a:ln w="3175">
              <a:noFill/>
            </a:ln>
          </c:spPr>
          <c:invertIfNegative val="0"/>
          <c:dLbls>
            <c:delete val="1"/>
          </c:dLbls>
          <c:cat>
            <c:strRef>
              <c:f>'[图表 在 2019年度部门决算公开模板（参考）.docx]Sheet1'!$C$2:$F$2</c:f>
              <c:strCache>
                <c:ptCount val="4"/>
                <c:pt idx="0">
                  <c:v>本年支出</c:v>
                </c:pt>
                <c:pt idx="1">
                  <c:v>本年收入</c:v>
                </c:pt>
              </c:strCache>
            </c:strRef>
          </c:cat>
          <c:val>
            <c:numRef>
              <c:f>'[图表 在 2019年度部门决算公开模板（参考）.docx]Sheet1'!$C$4:$F$4</c:f>
              <c:numCache>
                <c:formatCode>General</c:formatCode>
                <c:ptCount val="4"/>
                <c:pt idx="0">
                  <c:v>2018.74</c:v>
                </c:pt>
                <c:pt idx="1">
                  <c:v>1931.66</c:v>
                </c:pt>
              </c:numCache>
            </c:numRef>
          </c:val>
        </c:ser>
        <c:ser>
          <c:idx val="2"/>
          <c:order val="2"/>
          <c:tx>
            <c:strRef>
              <c:f>'[图表 在 2019年度部门决算公开模板（参考）.docx]Sheet1'!$B$5</c:f>
              <c:strCache>
                <c:ptCount val="1"/>
                <c:pt idx="0">
                  <c:v/>
                </c:pt>
              </c:strCache>
            </c:strRef>
          </c:tx>
          <c:spPr>
            <a:solidFill>
              <a:srgbClr val="A5A5A5">
                <a:alpha val="100000"/>
              </a:srgbClr>
            </a:solidFill>
            <a:ln w="3175">
              <a:noFill/>
            </a:ln>
          </c:spPr>
          <c:invertIfNegative val="0"/>
          <c:dLbls>
            <c:delete val="1"/>
          </c:dLbls>
          <c:cat>
            <c:strRef>
              <c:f>'[图表 在 2019年度部门决算公开模板（参考）.docx]Sheet1'!$C$2:$F$2</c:f>
              <c:strCache>
                <c:ptCount val="4"/>
                <c:pt idx="0">
                  <c:v>本年支出</c:v>
                </c:pt>
                <c:pt idx="1">
                  <c:v>本年收入</c:v>
                </c:pt>
              </c:strCache>
            </c:strRef>
          </c:cat>
          <c:val>
            <c:numRef>
              <c:f>'[图表 在 2019年度部门决算公开模板（参考）.docx]Sheet1'!$C$5:$F$5</c:f>
              <c:numCache>
                <c:formatCode>General</c:formatCode>
                <c:ptCount val="4"/>
              </c:numCache>
            </c:numRef>
          </c:val>
        </c:ser>
        <c:dLbls>
          <c:showLegendKey val="0"/>
          <c:showVal val="0"/>
          <c:showCatName val="0"/>
          <c:showSerName val="0"/>
          <c:showPercent val="0"/>
          <c:showBubbleSize val="0"/>
        </c:dLbls>
        <c:gapWidth val="219"/>
        <c:overlap val="-27"/>
        <c:axId val="348112936"/>
        <c:axId val="670557427"/>
      </c:barChart>
      <c:catAx>
        <c:axId val="34811293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70557427"/>
        <c:crosses val="autoZero"/>
        <c:auto val="1"/>
        <c:lblAlgn val="ctr"/>
        <c:lblOffset val="100"/>
        <c:noMultiLvlLbl val="0"/>
      </c:catAx>
      <c:valAx>
        <c:axId val="670557427"/>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48112936"/>
        <c:crosses val="autoZero"/>
        <c:crossBetween val="between"/>
      </c:valAx>
      <c:spPr>
        <a:noFill/>
        <a:ln>
          <a:noFill/>
        </a:ln>
        <a:effectLst/>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27</Pages>
  <Words>1050</Words>
  <Characters>5990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新畅科技</cp:lastModifiedBy>
  <cp:lastPrinted>2020-07-30T02:37:00Z</cp:lastPrinted>
  <dcterms:modified xsi:type="dcterms:W3CDTF">2020-08-25T14:03:36Z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